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center"/>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天津工业大学</w:t>
      </w:r>
      <w:r>
        <w:rPr>
          <w:rFonts w:hint="eastAsia" w:ascii="仿宋" w:hAnsi="仿宋" w:eastAsia="仿宋" w:cs="仿宋"/>
          <w:i w:val="0"/>
          <w:iCs w:val="0"/>
          <w:caps w:val="0"/>
          <w:color w:val="333333"/>
          <w:spacing w:val="0"/>
          <w:sz w:val="28"/>
          <w:szCs w:val="28"/>
          <w:shd w:val="clear" w:fill="FFFFFF"/>
          <w:vertAlign w:val="baseline"/>
        </w:rPr>
        <w:t>学生公寓自助雪糕智能柜放置销售权</w:t>
      </w:r>
      <w:r>
        <w:rPr>
          <w:rFonts w:hint="eastAsia" w:ascii="仿宋" w:hAnsi="仿宋" w:eastAsia="仿宋" w:cs="仿宋"/>
          <w:i w:val="0"/>
          <w:iCs w:val="0"/>
          <w:caps w:val="0"/>
          <w:color w:val="333333"/>
          <w:spacing w:val="0"/>
          <w:sz w:val="28"/>
          <w:szCs w:val="28"/>
          <w:shd w:val="clear" w:fill="FFFFFF"/>
          <w:vertAlign w:val="baseline"/>
          <w:lang w:val="en-US" w:eastAsia="zh-CN"/>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center"/>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lang w:val="en-US" w:eastAsia="zh-CN"/>
        </w:rPr>
        <w:t>天津工业大学</w:t>
      </w:r>
      <w:r>
        <w:rPr>
          <w:rFonts w:ascii="仿宋" w:hAnsi="仿宋" w:eastAsia="仿宋" w:cs="仿宋"/>
          <w:i w:val="0"/>
          <w:iCs w:val="0"/>
          <w:caps w:val="0"/>
          <w:color w:val="333333"/>
          <w:spacing w:val="0"/>
          <w:sz w:val="28"/>
          <w:szCs w:val="28"/>
          <w:shd w:val="clear" w:fill="FFFFFF"/>
        </w:rPr>
        <w:t>对以下项目进行公开招商。意向合作方参与本次公开招商，视为同意本公告中的所有条款。具体情况及要求如下：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1.招商项目：</w:t>
      </w:r>
      <w:r>
        <w:rPr>
          <w:rFonts w:hint="eastAsia" w:ascii="仿宋" w:hAnsi="仿宋" w:eastAsia="仿宋" w:cs="仿宋"/>
          <w:i w:val="0"/>
          <w:iCs w:val="0"/>
          <w:caps w:val="0"/>
          <w:color w:val="333333"/>
          <w:spacing w:val="0"/>
          <w:sz w:val="28"/>
          <w:szCs w:val="28"/>
          <w:shd w:val="clear" w:fill="FFFFFF"/>
          <w:vertAlign w:val="baseline"/>
          <w:lang w:val="en-US" w:eastAsia="zh-CN"/>
        </w:rPr>
        <w:t>天津工业大学</w:t>
      </w:r>
      <w:r>
        <w:rPr>
          <w:rFonts w:hint="eastAsia" w:ascii="仿宋" w:hAnsi="仿宋" w:eastAsia="仿宋" w:cs="仿宋"/>
          <w:i w:val="0"/>
          <w:iCs w:val="0"/>
          <w:caps w:val="0"/>
          <w:color w:val="333333"/>
          <w:spacing w:val="0"/>
          <w:sz w:val="28"/>
          <w:szCs w:val="28"/>
          <w:shd w:val="clear" w:fill="FFFFFF"/>
          <w:vertAlign w:val="baseline"/>
        </w:rPr>
        <w:t>学生公寓自助雪糕智能柜放置销售权，用于满足校内师生需求。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仿宋" w:cs="微软雅黑"/>
          <w:i w:val="0"/>
          <w:iCs w:val="0"/>
          <w:caps w:val="0"/>
          <w:color w:val="333333"/>
          <w:spacing w:val="0"/>
          <w:sz w:val="21"/>
          <w:szCs w:val="21"/>
          <w:lang w:eastAsia="zh-CN"/>
        </w:rPr>
      </w:pPr>
      <w:r>
        <w:rPr>
          <w:rFonts w:hint="eastAsia" w:ascii="仿宋" w:hAnsi="仿宋" w:eastAsia="仿宋" w:cs="仿宋"/>
          <w:i w:val="0"/>
          <w:iCs w:val="0"/>
          <w:caps w:val="0"/>
          <w:color w:val="333333"/>
          <w:spacing w:val="0"/>
          <w:sz w:val="28"/>
          <w:szCs w:val="28"/>
          <w:shd w:val="clear" w:fill="FFFFFF"/>
          <w:vertAlign w:val="baseline"/>
        </w:rPr>
        <w:t>2.自助雪糕智能柜放置数量：</w:t>
      </w:r>
      <w:r>
        <w:rPr>
          <w:rFonts w:hint="eastAsia" w:ascii="仿宋" w:hAnsi="仿宋" w:eastAsia="仿宋" w:cs="仿宋"/>
          <w:i w:val="0"/>
          <w:iCs w:val="0"/>
          <w:caps w:val="0"/>
          <w:color w:val="333333"/>
          <w:spacing w:val="0"/>
          <w:sz w:val="28"/>
          <w:szCs w:val="28"/>
          <w:shd w:val="clear" w:fill="FFFFFF"/>
          <w:vertAlign w:val="baseline"/>
          <w:lang w:val="en-US" w:eastAsia="zh-CN"/>
        </w:rPr>
        <w:t>20</w:t>
      </w:r>
      <w:r>
        <w:rPr>
          <w:rFonts w:hint="eastAsia" w:ascii="仿宋" w:hAnsi="仿宋" w:eastAsia="仿宋" w:cs="仿宋"/>
          <w:i w:val="0"/>
          <w:iCs w:val="0"/>
          <w:caps w:val="0"/>
          <w:color w:val="333333"/>
          <w:spacing w:val="0"/>
          <w:sz w:val="28"/>
          <w:szCs w:val="28"/>
          <w:shd w:val="clear" w:fill="FFFFFF"/>
          <w:vertAlign w:val="baseline"/>
        </w:rPr>
        <w:t>台。</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eastAsia" w:ascii="仿宋" w:hAnsi="仿宋" w:eastAsia="仿宋" w:cs="仿宋"/>
          <w:i w:val="0"/>
          <w:iCs w:val="0"/>
          <w:caps w:val="0"/>
          <w:color w:val="333333"/>
          <w:spacing w:val="0"/>
          <w:sz w:val="28"/>
          <w:szCs w:val="28"/>
          <w:shd w:val="clear" w:fill="FFFFFF"/>
          <w:vertAlign w:val="baseline"/>
          <w:lang w:val="en-US" w:eastAsia="zh-CN"/>
        </w:rPr>
        <w:t>最终以合同确定数量为准</w:t>
      </w:r>
      <w:r>
        <w:rPr>
          <w:rFonts w:hint="eastAsia" w:ascii="仿宋" w:hAnsi="仿宋" w:eastAsia="仿宋" w:cs="仿宋"/>
          <w:i w:val="0"/>
          <w:iCs w:val="0"/>
          <w:caps w:val="0"/>
          <w:color w:val="333333"/>
          <w:spacing w:val="0"/>
          <w:sz w:val="28"/>
          <w:szCs w:val="28"/>
          <w:shd w:val="clear" w:fill="FFFFFF"/>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3.放置区域：学生公寓公共区域（不得占用消防通道），最终位置以后勤保障部指定为准。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333333"/>
          <w:spacing w:val="0"/>
          <w:sz w:val="28"/>
          <w:szCs w:val="28"/>
          <w:shd w:val="clear" w:fill="FFFFFF"/>
          <w:vertAlign w:val="baseline"/>
          <w:lang w:eastAsia="zh-CN"/>
        </w:rPr>
      </w:pPr>
      <w:r>
        <w:rPr>
          <w:rFonts w:hint="eastAsia" w:ascii="仿宋" w:hAnsi="仿宋" w:eastAsia="仿宋" w:cs="仿宋"/>
          <w:i w:val="0"/>
          <w:iCs w:val="0"/>
          <w:caps w:val="0"/>
          <w:color w:val="333333"/>
          <w:spacing w:val="0"/>
          <w:sz w:val="28"/>
          <w:szCs w:val="28"/>
          <w:shd w:val="clear" w:fill="FFFFFF"/>
        </w:rPr>
        <w:t>4.放置期限：</w:t>
      </w:r>
      <w:r>
        <w:rPr>
          <w:rFonts w:hint="eastAsia" w:ascii="仿宋" w:hAnsi="仿宋" w:eastAsia="仿宋" w:cs="仿宋"/>
          <w:i w:val="0"/>
          <w:iCs w:val="0"/>
          <w:caps w:val="0"/>
          <w:color w:val="333333"/>
          <w:spacing w:val="0"/>
          <w:sz w:val="28"/>
          <w:szCs w:val="28"/>
          <w:shd w:val="clear" w:fill="FFFFFF"/>
          <w:lang w:val="en-US" w:eastAsia="zh-CN"/>
        </w:rPr>
        <w:t>36</w:t>
      </w:r>
      <w:r>
        <w:rPr>
          <w:rFonts w:hint="eastAsia" w:ascii="仿宋" w:hAnsi="仿宋" w:eastAsia="仿宋" w:cs="仿宋"/>
          <w:i w:val="0"/>
          <w:iCs w:val="0"/>
          <w:caps w:val="0"/>
          <w:color w:val="333333"/>
          <w:spacing w:val="0"/>
          <w:sz w:val="28"/>
          <w:szCs w:val="28"/>
          <w:shd w:val="clear" w:fill="FFFFFF"/>
        </w:rPr>
        <w:t>个月，起始日期以场地实际移交日期为准。</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eastAsia" w:ascii="仿宋" w:hAnsi="仿宋" w:eastAsia="仿宋" w:cs="仿宋"/>
          <w:i w:val="0"/>
          <w:iCs w:val="0"/>
          <w:caps w:val="0"/>
          <w:color w:val="333333"/>
          <w:spacing w:val="0"/>
          <w:sz w:val="28"/>
          <w:szCs w:val="28"/>
          <w:shd w:val="clear" w:fill="FFFFFF"/>
          <w:vertAlign w:val="baseline"/>
          <w:lang w:val="en-US" w:eastAsia="zh-CN"/>
        </w:rPr>
        <w:t>最终以合同确定期限为准</w:t>
      </w:r>
      <w:r>
        <w:rPr>
          <w:rFonts w:hint="eastAsia" w:ascii="仿宋" w:hAnsi="仿宋" w:eastAsia="仿宋" w:cs="仿宋"/>
          <w:i w:val="0"/>
          <w:iCs w:val="0"/>
          <w:caps w:val="0"/>
          <w:color w:val="333333"/>
          <w:spacing w:val="0"/>
          <w:sz w:val="28"/>
          <w:szCs w:val="28"/>
          <w:shd w:val="clear" w:fill="FFFFFF"/>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val="en-US" w:eastAsia="zh-CN"/>
        </w:rPr>
        <w:t>5</w:t>
      </w: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rPr>
        <w:t>场地</w:t>
      </w:r>
      <w:r>
        <w:rPr>
          <w:rFonts w:hint="eastAsia" w:ascii="仿宋" w:hAnsi="仿宋" w:eastAsia="仿宋" w:cs="仿宋"/>
          <w:i w:val="0"/>
          <w:iCs w:val="0"/>
          <w:caps w:val="0"/>
          <w:color w:val="333333"/>
          <w:spacing w:val="0"/>
          <w:sz w:val="28"/>
          <w:szCs w:val="28"/>
          <w:shd w:val="clear" w:fill="FFFFFF"/>
          <w:lang w:eastAsia="zh-CN"/>
        </w:rPr>
        <w:t>费</w:t>
      </w:r>
      <w:r>
        <w:rPr>
          <w:rFonts w:hint="eastAsia" w:ascii="仿宋" w:hAnsi="仿宋" w:eastAsia="仿宋" w:cs="仿宋"/>
          <w:i w:val="0"/>
          <w:iCs w:val="0"/>
          <w:caps w:val="0"/>
          <w:color w:val="333333"/>
          <w:spacing w:val="0"/>
          <w:sz w:val="28"/>
          <w:szCs w:val="28"/>
          <w:shd w:val="clear" w:fill="FFFFFF"/>
        </w:rPr>
        <w:t>和履约保证金：合作方须向采购方定额缴纳场地费，每台</w:t>
      </w:r>
      <w:r>
        <w:rPr>
          <w:rFonts w:hint="eastAsia" w:ascii="仿宋" w:hAnsi="仿宋" w:eastAsia="仿宋" w:cs="仿宋"/>
          <w:i w:val="0"/>
          <w:iCs w:val="0"/>
          <w:caps w:val="0"/>
          <w:color w:val="333333"/>
          <w:spacing w:val="0"/>
          <w:sz w:val="28"/>
          <w:szCs w:val="28"/>
          <w:shd w:val="clear" w:fill="FFFFFF"/>
          <w:vertAlign w:val="baseline"/>
        </w:rPr>
        <w:t>自助雪糕智能</w:t>
      </w:r>
      <w:r>
        <w:rPr>
          <w:rFonts w:hint="eastAsia" w:ascii="仿宋" w:hAnsi="仿宋" w:eastAsia="仿宋" w:cs="仿宋"/>
          <w:i w:val="0"/>
          <w:iCs w:val="0"/>
          <w:caps w:val="0"/>
          <w:color w:val="333333"/>
          <w:spacing w:val="0"/>
          <w:sz w:val="28"/>
          <w:szCs w:val="28"/>
          <w:shd w:val="clear" w:fill="FFFFFF"/>
          <w:vertAlign w:val="baseline"/>
          <w:lang w:val="en-US" w:eastAsia="zh-CN"/>
        </w:rPr>
        <w:t>场地费</w:t>
      </w:r>
      <w:r>
        <w:rPr>
          <w:rFonts w:hint="eastAsia" w:ascii="仿宋" w:hAnsi="仿宋" w:eastAsia="仿宋" w:cs="仿宋"/>
          <w:i w:val="0"/>
          <w:iCs w:val="0"/>
          <w:caps w:val="0"/>
          <w:color w:val="333333"/>
          <w:spacing w:val="0"/>
          <w:sz w:val="28"/>
          <w:szCs w:val="28"/>
          <w:shd w:val="clear" w:fill="FFFFFF"/>
          <w:lang w:val="en-US" w:eastAsia="zh-CN"/>
        </w:rPr>
        <w:t>不低于2000</w:t>
      </w:r>
      <w:r>
        <w:rPr>
          <w:rFonts w:hint="eastAsia" w:ascii="仿宋" w:hAnsi="仿宋" w:eastAsia="仿宋" w:cs="仿宋"/>
          <w:i w:val="0"/>
          <w:iCs w:val="0"/>
          <w:caps w:val="0"/>
          <w:color w:val="333333"/>
          <w:spacing w:val="0"/>
          <w:sz w:val="28"/>
          <w:szCs w:val="28"/>
          <w:shd w:val="clear" w:fill="FFFFFF"/>
        </w:rPr>
        <w:t>元/年；在签订合同前，中标合作方须向采购方缴纳履约保证金</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lang w:val="en-US" w:eastAsia="zh-CN"/>
        </w:rPr>
        <w:t>6</w:t>
      </w:r>
      <w:r>
        <w:rPr>
          <w:rFonts w:hint="eastAsia" w:ascii="仿宋" w:hAnsi="仿宋" w:eastAsia="仿宋" w:cs="仿宋"/>
          <w:i w:val="0"/>
          <w:iCs w:val="0"/>
          <w:caps w:val="0"/>
          <w:color w:val="333333"/>
          <w:spacing w:val="0"/>
          <w:sz w:val="28"/>
          <w:szCs w:val="28"/>
          <w:shd w:val="clear" w:fill="FFFFFF"/>
          <w:vertAlign w:val="baseline"/>
        </w:rPr>
        <w:t>.该项目由</w:t>
      </w:r>
      <w:r>
        <w:rPr>
          <w:rFonts w:hint="eastAsia" w:ascii="仿宋" w:hAnsi="仿宋" w:eastAsia="仿宋" w:cs="仿宋"/>
          <w:i w:val="0"/>
          <w:iCs w:val="0"/>
          <w:caps w:val="0"/>
          <w:color w:val="333333"/>
          <w:spacing w:val="0"/>
          <w:sz w:val="28"/>
          <w:szCs w:val="28"/>
          <w:shd w:val="clear" w:fill="FFFFFF"/>
          <w:vertAlign w:val="baseline"/>
          <w:lang w:val="en-US" w:eastAsia="zh-CN"/>
        </w:rPr>
        <w:t>天津工业</w:t>
      </w:r>
      <w:r>
        <w:rPr>
          <w:rFonts w:hint="eastAsia" w:ascii="仿宋" w:hAnsi="仿宋" w:eastAsia="仿宋" w:cs="仿宋"/>
          <w:i w:val="0"/>
          <w:iCs w:val="0"/>
          <w:caps w:val="0"/>
          <w:color w:val="333333"/>
          <w:spacing w:val="0"/>
          <w:sz w:val="28"/>
          <w:szCs w:val="28"/>
          <w:shd w:val="clear" w:fill="FFFFFF"/>
          <w:vertAlign w:val="baseline"/>
        </w:rPr>
        <w:t>大学</w:t>
      </w:r>
      <w:r>
        <w:rPr>
          <w:rFonts w:hint="eastAsia" w:ascii="仿宋" w:hAnsi="仿宋" w:eastAsia="仿宋" w:cs="仿宋"/>
          <w:i w:val="0"/>
          <w:iCs w:val="0"/>
          <w:caps w:val="0"/>
          <w:color w:val="333333"/>
          <w:spacing w:val="0"/>
          <w:sz w:val="28"/>
          <w:szCs w:val="28"/>
          <w:shd w:val="clear" w:fill="FFFFFF"/>
          <w:vertAlign w:val="baseline"/>
          <w:lang w:val="en-US" w:eastAsia="zh-CN"/>
        </w:rPr>
        <w:t>学生处</w:t>
      </w:r>
      <w:r>
        <w:rPr>
          <w:rFonts w:hint="eastAsia" w:ascii="仿宋" w:hAnsi="仿宋" w:eastAsia="仿宋" w:cs="仿宋"/>
          <w:i w:val="0"/>
          <w:iCs w:val="0"/>
          <w:caps w:val="0"/>
          <w:color w:val="333333"/>
          <w:spacing w:val="0"/>
          <w:sz w:val="28"/>
          <w:szCs w:val="28"/>
          <w:shd w:val="clear" w:fill="FFFFFF"/>
          <w:vertAlign w:val="baseline"/>
        </w:rPr>
        <w:t>进行日常管理和监管。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二、合作方的基本要求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1.具有企业法人身份。本项目不接受自然人参与竞争。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2.具有有效期内的食品经营许可证。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3.企业营业执照上的经营范围包括本项目涉及领域。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4.具有独立承担民事责任的能力；具有良好的商业信誉和健全的财务会计制度；依法缴纳税收和社会保障资金。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5.参加本次竞争活动前三年内，在经营活动中没有违法记录；近3年内不得被列入失信执行人、税收违法案件当事人名单、政府采购违法失信行为名单记录；无任何涉及食品卫生、消防安全、劳务纠纷等方面的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6.具有实施本项目，履行提供智能自助设备及配套服务项目所必需的设备和专业技术能力；遵守中华人民共和国相关法律、法规和条例及</w:t>
      </w:r>
      <w:r>
        <w:rPr>
          <w:rFonts w:hint="eastAsia" w:ascii="仿宋" w:hAnsi="仿宋" w:eastAsia="仿宋" w:cs="仿宋"/>
          <w:i w:val="0"/>
          <w:iCs w:val="0"/>
          <w:caps w:val="0"/>
          <w:color w:val="333333"/>
          <w:spacing w:val="0"/>
          <w:sz w:val="28"/>
          <w:szCs w:val="28"/>
          <w:shd w:val="clear" w:fill="FFFFFF"/>
          <w:vertAlign w:val="baseline"/>
          <w:lang w:val="en-US" w:eastAsia="zh-CN"/>
        </w:rPr>
        <w:t>天津工业大学</w:t>
      </w:r>
      <w:r>
        <w:rPr>
          <w:rFonts w:hint="eastAsia" w:ascii="仿宋" w:hAnsi="仿宋" w:eastAsia="仿宋" w:cs="仿宋"/>
          <w:i w:val="0"/>
          <w:iCs w:val="0"/>
          <w:caps w:val="0"/>
          <w:color w:val="333333"/>
          <w:spacing w:val="0"/>
          <w:sz w:val="28"/>
          <w:szCs w:val="28"/>
          <w:shd w:val="clear" w:fill="FFFFFF"/>
          <w:vertAlign w:val="baseline"/>
        </w:rPr>
        <w:t>相关管理规定。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合作方对以上基本要求中任何一项达不到要求的均按无效参与处理。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三、放置期内经营管理要求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vertAlign w:val="baseline"/>
        </w:rPr>
        <w:t>（一）对放置自助设备的要求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1.所放置的自助设备具有质量检验报告。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2.所放置的自助设备符合国家相关标准。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3.所放置的自助设备产权清晰，未被抵押、担保、司法冻结。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15"/>
          <w:sz w:val="28"/>
          <w:szCs w:val="28"/>
          <w:shd w:val="clear" w:fill="FFFFFF"/>
        </w:rPr>
        <w:t>（二）对销售商品的要求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1.只能销售预包装的雪糕、冰激凌类商品，不得销售其他非预包装食品。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2.所销售的雪糕、冰激凌内商品要求包含至少3个以上一线主流品牌产品。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3.所销售的商品必须明码标价。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4.所销售商品必须符合食品卫生安全标准。不得经营假冒伪劣商品、“三无”商品、临期（距过期1个月以内的）及过期商品。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15"/>
          <w:sz w:val="28"/>
          <w:szCs w:val="28"/>
          <w:shd w:val="clear" w:fill="FFFFFF"/>
        </w:rPr>
        <w:t>（三）对经营行为的要求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1.须独立经营，不接受联合经营，自营比例需达到100%。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2.自助设备需开通主流移动支付功能。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3.同品牌同规格产品销售价格不得高于校内超市零售价格。校内超市没有的品牌型号，销售价格不得高于学校周边便利超市零售价格。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4.不得向在校师生售卖任何充值性质的预付卡。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15"/>
          <w:sz w:val="28"/>
          <w:szCs w:val="28"/>
          <w:shd w:val="clear" w:fill="FFFFFF"/>
        </w:rPr>
        <w:t>（四）对服务质量的要求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1.合作方必须确保服务质量，及时补充商品和修复设备，对师生涉及财物的投诉事项，确保2小时内妥善处理解决。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2.设备故障后，合作方接到维修电话后4小时内给予明确答复，8小时内到达现场维修。维修人员到现场后因特殊原因无法现场修复的，合作方需在24小时内给出合理解决方案。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15"/>
          <w:sz w:val="28"/>
          <w:szCs w:val="28"/>
          <w:shd w:val="clear" w:fill="FFFFFF"/>
        </w:rPr>
        <w:t>3.如遇销售商品的质量投诉查证属实的，必须及时赔付处理，情节严重的终止合同并承担赔偿责任。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15"/>
          <w:sz w:val="28"/>
          <w:szCs w:val="28"/>
          <w:shd w:val="clear" w:fill="FFFFFF"/>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1.如发生安全事故、食品中毒事故，合作方承担所有费用，同时学校有权委托第三方机构进行检验检测，经查实属于合作方责任的，检测费用由合作方承担。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2.合作方取得放置销售权后，学校进行供电线路与计费装置安装改造，费用由合作方承担。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vertAlign w:val="baseline"/>
        </w:rPr>
        <w:t>3.合作方必须按照</w:t>
      </w:r>
      <w:r>
        <w:rPr>
          <w:rFonts w:hint="eastAsia" w:ascii="仿宋" w:hAnsi="仿宋" w:eastAsia="仿宋" w:cs="仿宋"/>
          <w:i w:val="0"/>
          <w:iCs w:val="0"/>
          <w:caps w:val="0"/>
          <w:color w:val="333333"/>
          <w:spacing w:val="0"/>
          <w:sz w:val="28"/>
          <w:szCs w:val="28"/>
          <w:shd w:val="clear" w:fill="FFFFFF"/>
          <w:vertAlign w:val="baseline"/>
          <w:lang w:val="en-US" w:eastAsia="zh-CN"/>
        </w:rPr>
        <w:t>天津工业</w:t>
      </w:r>
      <w:r>
        <w:rPr>
          <w:rFonts w:hint="eastAsia" w:ascii="仿宋" w:hAnsi="仿宋" w:eastAsia="仿宋" w:cs="仿宋"/>
          <w:i w:val="0"/>
          <w:iCs w:val="0"/>
          <w:caps w:val="0"/>
          <w:color w:val="333333"/>
          <w:spacing w:val="0"/>
          <w:sz w:val="28"/>
          <w:szCs w:val="28"/>
          <w:shd w:val="clear" w:fill="FFFFFF"/>
          <w:vertAlign w:val="baseline"/>
        </w:rPr>
        <w:t>大学日常管理及疫情防控常态化要求进行服务。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lang w:val="en-US" w:eastAsia="zh-CN"/>
        </w:rPr>
        <w:t>四</w:t>
      </w:r>
      <w:r>
        <w:rPr>
          <w:rStyle w:val="6"/>
          <w:rFonts w:hint="eastAsia" w:ascii="仿宋" w:hAnsi="仿宋" w:eastAsia="仿宋" w:cs="仿宋"/>
          <w:i w:val="0"/>
          <w:iCs w:val="0"/>
          <w:caps w:val="0"/>
          <w:color w:val="333333"/>
          <w:spacing w:val="0"/>
          <w:sz w:val="28"/>
          <w:szCs w:val="28"/>
          <w:shd w:val="clear" w:fill="FFFFFF"/>
        </w:rPr>
        <w:t>、参与方式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（一）报名方式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意向合作方按本章节要求制作纸质参与材料，包括1份正本和2份副本，装订成册并加盖骑缝章，并提供与纸质参与材料内容一致的电子文档，密封后在规定的时间提交到指定地点。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（二）参与材料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1.身份材料。提交企业法人营业执照复印件、法定代表人身份证复印件。委托他人参与的，提交法定代表人授权委托书，以及法定代表人和被委托人的身份证复印件。以及相关的资格资质证书复印件。</w:t>
      </w:r>
      <w:r>
        <w:rPr>
          <w:rStyle w:val="6"/>
          <w:rFonts w:hint="eastAsia" w:ascii="仿宋" w:hAnsi="仿宋" w:eastAsia="仿宋" w:cs="仿宋"/>
          <w:i w:val="0"/>
          <w:iCs w:val="0"/>
          <w:caps w:val="0"/>
          <w:color w:val="333333"/>
          <w:spacing w:val="0"/>
          <w:sz w:val="28"/>
          <w:szCs w:val="28"/>
          <w:shd w:val="clear" w:fill="FFFFFF"/>
        </w:rPr>
        <w:t>现场评审时，还需提供企业营业执照副本（原件）或加盖企业公章的复印件、法定代表人身份证原件。如法定代表人无法到达现场，可提供法定代表人身份证复印件、加盖公章的书面委托书、被委托人身份证原件。未能提供以上材料的将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.响应材料。按照评分办法所对应的内容的承诺及支撑材料。包括但不限于以下内容：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①评租办法关注的打分点所对应的支撑材料、证明材料、服务承诺等。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②对第三部分经营管理要求的响应情况。任何一条不能响应的，视为无效参与。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③信用核查材料：企业法人必须提供信用中国信用信息报告。自然人须提供“中国执行信息公开网http://zxgk.court.gov.cn/shixin/”全国范围内未找到本人属于失信被执行人、信用中国网站(www.creditchina.gov.cn)相应类别征信查询结果截图，打印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④品牌业态的品牌授权材料。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⑤其他必备的资质材料。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⑥本竞争项目同类的实际经营案例等（限意向合作人实际运营案例）。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lang w:val="en-US" w:eastAsia="zh-CN"/>
        </w:rPr>
        <w:t>天津工业</w:t>
      </w:r>
      <w:r>
        <w:rPr>
          <w:rFonts w:hint="eastAsia" w:ascii="仿宋" w:hAnsi="仿宋" w:eastAsia="仿宋" w:cs="仿宋"/>
          <w:i w:val="0"/>
          <w:iCs w:val="0"/>
          <w:caps w:val="0"/>
          <w:color w:val="333333"/>
          <w:spacing w:val="0"/>
          <w:sz w:val="28"/>
          <w:szCs w:val="28"/>
          <w:shd w:val="clear" w:fill="FFFFFF"/>
        </w:rPr>
        <w:t>大学将依照意向合作人提交的参与材料组织评审。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（三）提交参与材料的地点、时间与要求</w:t>
      </w:r>
    </w:p>
    <w:p>
      <w:pPr>
        <w:spacing w:line="500" w:lineRule="exact"/>
        <w:ind w:firstLine="560" w:firstLineChars="2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kern w:val="0"/>
          <w:sz w:val="28"/>
          <w:szCs w:val="28"/>
          <w:shd w:val="clear" w:fill="FFFFFF"/>
          <w:lang w:val="en-US" w:eastAsia="zh-CN" w:bidi="ar"/>
        </w:rPr>
        <w:t>2023</w:t>
      </w:r>
      <w:r>
        <w:rPr>
          <w:rFonts w:hint="eastAsia" w:ascii="仿宋" w:hAnsi="仿宋" w:eastAsia="仿宋" w:cs="仿宋"/>
          <w:i w:val="0"/>
          <w:iCs w:val="0"/>
          <w:caps w:val="0"/>
          <w:color w:val="333333"/>
          <w:spacing w:val="0"/>
          <w:kern w:val="0"/>
          <w:sz w:val="28"/>
          <w:szCs w:val="28"/>
          <w:shd w:val="clear" w:fill="FFFFFF"/>
          <w:lang w:val="zh-CN" w:eastAsia="zh-CN" w:bidi="ar"/>
        </w:rPr>
        <w:t>年</w:t>
      </w:r>
      <w:r>
        <w:rPr>
          <w:rFonts w:hint="eastAsia" w:ascii="仿宋" w:hAnsi="仿宋" w:eastAsia="仿宋" w:cs="仿宋"/>
          <w:i w:val="0"/>
          <w:iCs w:val="0"/>
          <w:caps w:val="0"/>
          <w:color w:val="333333"/>
          <w:spacing w:val="0"/>
          <w:kern w:val="0"/>
          <w:sz w:val="28"/>
          <w:szCs w:val="28"/>
          <w:shd w:val="clear" w:fill="FFFFFF"/>
          <w:lang w:val="en-US" w:eastAsia="zh-CN" w:bidi="ar"/>
        </w:rPr>
        <w:t>8</w:t>
      </w:r>
      <w:r>
        <w:rPr>
          <w:rFonts w:hint="eastAsia" w:ascii="仿宋" w:hAnsi="仿宋" w:eastAsia="仿宋" w:cs="仿宋"/>
          <w:i w:val="0"/>
          <w:iCs w:val="0"/>
          <w:caps w:val="0"/>
          <w:color w:val="333333"/>
          <w:spacing w:val="0"/>
          <w:kern w:val="0"/>
          <w:sz w:val="28"/>
          <w:szCs w:val="28"/>
          <w:shd w:val="clear" w:fill="FFFFFF"/>
          <w:lang w:val="zh-CN" w:eastAsia="zh-CN" w:bidi="ar"/>
        </w:rPr>
        <w:t>月</w:t>
      </w:r>
      <w:r>
        <w:rPr>
          <w:rFonts w:hint="eastAsia" w:ascii="仿宋" w:hAnsi="仿宋" w:eastAsia="仿宋" w:cs="仿宋"/>
          <w:i w:val="0"/>
          <w:iCs w:val="0"/>
          <w:caps w:val="0"/>
          <w:color w:val="333333"/>
          <w:spacing w:val="0"/>
          <w:kern w:val="0"/>
          <w:sz w:val="28"/>
          <w:szCs w:val="28"/>
          <w:shd w:val="clear" w:fill="FFFFFF"/>
          <w:lang w:val="en-US" w:eastAsia="zh-CN" w:bidi="ar"/>
        </w:rPr>
        <w:t>14</w:t>
      </w:r>
      <w:r>
        <w:rPr>
          <w:rFonts w:hint="eastAsia" w:ascii="仿宋" w:hAnsi="仿宋" w:eastAsia="仿宋" w:cs="仿宋"/>
          <w:i w:val="0"/>
          <w:iCs w:val="0"/>
          <w:caps w:val="0"/>
          <w:color w:val="333333"/>
          <w:spacing w:val="0"/>
          <w:kern w:val="0"/>
          <w:sz w:val="28"/>
          <w:szCs w:val="28"/>
          <w:shd w:val="clear" w:fill="FFFFFF"/>
          <w:lang w:val="zh-CN" w:eastAsia="zh-CN" w:bidi="ar"/>
        </w:rPr>
        <w:t>日至</w:t>
      </w:r>
      <w:r>
        <w:rPr>
          <w:rFonts w:hint="eastAsia" w:ascii="仿宋" w:hAnsi="仿宋" w:eastAsia="仿宋" w:cs="仿宋"/>
          <w:i w:val="0"/>
          <w:iCs w:val="0"/>
          <w:caps w:val="0"/>
          <w:color w:val="333333"/>
          <w:spacing w:val="0"/>
          <w:kern w:val="0"/>
          <w:sz w:val="28"/>
          <w:szCs w:val="28"/>
          <w:shd w:val="clear" w:fill="FFFFFF"/>
          <w:lang w:val="en-US" w:eastAsia="zh-CN" w:bidi="ar"/>
        </w:rPr>
        <w:t>2023</w:t>
      </w:r>
      <w:r>
        <w:rPr>
          <w:rFonts w:hint="eastAsia" w:ascii="仿宋" w:hAnsi="仿宋" w:eastAsia="仿宋" w:cs="仿宋"/>
          <w:i w:val="0"/>
          <w:iCs w:val="0"/>
          <w:caps w:val="0"/>
          <w:color w:val="333333"/>
          <w:spacing w:val="0"/>
          <w:kern w:val="0"/>
          <w:sz w:val="28"/>
          <w:szCs w:val="28"/>
          <w:shd w:val="clear" w:fill="FFFFFF"/>
          <w:lang w:val="zh-CN" w:eastAsia="zh-CN" w:bidi="ar"/>
        </w:rPr>
        <w:t>年</w:t>
      </w:r>
      <w:r>
        <w:rPr>
          <w:rFonts w:hint="eastAsia" w:ascii="仿宋" w:hAnsi="仿宋" w:eastAsia="仿宋" w:cs="仿宋"/>
          <w:i w:val="0"/>
          <w:iCs w:val="0"/>
          <w:caps w:val="0"/>
          <w:color w:val="333333"/>
          <w:spacing w:val="0"/>
          <w:kern w:val="0"/>
          <w:sz w:val="28"/>
          <w:szCs w:val="28"/>
          <w:shd w:val="clear" w:fill="FFFFFF"/>
          <w:lang w:val="en-US" w:eastAsia="zh-CN" w:bidi="ar"/>
        </w:rPr>
        <w:t>8</w:t>
      </w:r>
      <w:r>
        <w:rPr>
          <w:rFonts w:hint="eastAsia" w:ascii="仿宋" w:hAnsi="仿宋" w:eastAsia="仿宋" w:cs="仿宋"/>
          <w:i w:val="0"/>
          <w:iCs w:val="0"/>
          <w:caps w:val="0"/>
          <w:color w:val="333333"/>
          <w:spacing w:val="0"/>
          <w:kern w:val="0"/>
          <w:sz w:val="28"/>
          <w:szCs w:val="28"/>
          <w:shd w:val="clear" w:fill="FFFFFF"/>
          <w:lang w:val="zh-CN" w:eastAsia="zh-CN" w:bidi="ar"/>
        </w:rPr>
        <w:t>月</w:t>
      </w:r>
      <w:r>
        <w:rPr>
          <w:rFonts w:hint="eastAsia" w:ascii="仿宋" w:hAnsi="仿宋" w:eastAsia="仿宋" w:cs="仿宋"/>
          <w:i w:val="0"/>
          <w:iCs w:val="0"/>
          <w:caps w:val="0"/>
          <w:color w:val="333333"/>
          <w:spacing w:val="0"/>
          <w:kern w:val="0"/>
          <w:sz w:val="28"/>
          <w:szCs w:val="28"/>
          <w:shd w:val="clear" w:fill="FFFFFF"/>
          <w:lang w:val="en-US" w:eastAsia="zh-CN" w:bidi="ar"/>
        </w:rPr>
        <w:t>16</w:t>
      </w:r>
      <w:r>
        <w:rPr>
          <w:rFonts w:hint="eastAsia" w:ascii="仿宋" w:hAnsi="仿宋" w:eastAsia="仿宋" w:cs="仿宋"/>
          <w:i w:val="0"/>
          <w:iCs w:val="0"/>
          <w:caps w:val="0"/>
          <w:color w:val="333333"/>
          <w:spacing w:val="0"/>
          <w:kern w:val="0"/>
          <w:sz w:val="28"/>
          <w:szCs w:val="28"/>
          <w:shd w:val="clear" w:fill="FFFFFF"/>
          <w:lang w:val="zh-CN" w:eastAsia="zh-CN" w:bidi="ar"/>
        </w:rPr>
        <w:t>日</w:t>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eastAsia" w:ascii="仿宋" w:hAnsi="仿宋" w:eastAsia="仿宋" w:cs="仿宋"/>
          <w:i w:val="0"/>
          <w:iCs w:val="0"/>
          <w:caps w:val="0"/>
          <w:color w:val="333333"/>
          <w:spacing w:val="0"/>
          <w:kern w:val="0"/>
          <w:sz w:val="28"/>
          <w:szCs w:val="28"/>
          <w:shd w:val="clear" w:fill="FFFFFF"/>
          <w:lang w:val="zh-CN" w:eastAsia="zh-CN" w:bidi="ar"/>
        </w:rPr>
        <w:t>每日</w:t>
      </w:r>
      <w:r>
        <w:rPr>
          <w:rFonts w:hint="eastAsia" w:ascii="仿宋" w:hAnsi="仿宋" w:eastAsia="仿宋" w:cs="仿宋"/>
          <w:i w:val="0"/>
          <w:iCs w:val="0"/>
          <w:caps w:val="0"/>
          <w:color w:val="333333"/>
          <w:spacing w:val="0"/>
          <w:kern w:val="0"/>
          <w:sz w:val="28"/>
          <w:szCs w:val="28"/>
          <w:shd w:val="clear" w:fill="FFFFFF"/>
          <w:lang w:val="en-US" w:eastAsia="zh-CN" w:bidi="ar"/>
        </w:rPr>
        <w:t>9:00-11:30</w:t>
      </w:r>
      <w:r>
        <w:rPr>
          <w:rFonts w:hint="eastAsia" w:ascii="仿宋" w:hAnsi="仿宋" w:eastAsia="仿宋" w:cs="仿宋"/>
          <w:i w:val="0"/>
          <w:iCs w:val="0"/>
          <w:caps w:val="0"/>
          <w:color w:val="333333"/>
          <w:spacing w:val="0"/>
          <w:kern w:val="0"/>
          <w:sz w:val="28"/>
          <w:szCs w:val="28"/>
          <w:shd w:val="clear" w:fill="FFFFFF"/>
          <w:lang w:val="zh-CN" w:eastAsia="zh-CN" w:bidi="ar"/>
        </w:rPr>
        <w:t>、</w:t>
      </w:r>
      <w:r>
        <w:rPr>
          <w:rFonts w:hint="eastAsia" w:ascii="仿宋" w:hAnsi="仿宋" w:eastAsia="仿宋" w:cs="仿宋"/>
          <w:i w:val="0"/>
          <w:iCs w:val="0"/>
          <w:caps w:val="0"/>
          <w:color w:val="333333"/>
          <w:spacing w:val="0"/>
          <w:kern w:val="0"/>
          <w:sz w:val="28"/>
          <w:szCs w:val="28"/>
          <w:shd w:val="clear" w:fill="FFFFFF"/>
          <w:lang w:val="en-US" w:eastAsia="zh-CN" w:bidi="ar"/>
        </w:rPr>
        <w:t>14:30-17:00</w:t>
      </w:r>
      <w:r>
        <w:rPr>
          <w:rFonts w:hint="eastAsia" w:ascii="仿宋" w:hAnsi="仿宋" w:eastAsia="仿宋" w:cs="仿宋"/>
          <w:i w:val="0"/>
          <w:iCs w:val="0"/>
          <w:caps w:val="0"/>
          <w:color w:val="333333"/>
          <w:spacing w:val="0"/>
          <w:kern w:val="0"/>
          <w:sz w:val="28"/>
          <w:szCs w:val="28"/>
          <w:shd w:val="clear" w:fill="FFFFFF"/>
          <w:lang w:val="zh-CN" w:eastAsia="zh-CN" w:bidi="ar"/>
        </w:rPr>
        <w:t>。天津工业大学</w:t>
      </w:r>
      <w:r>
        <w:rPr>
          <w:rFonts w:hint="eastAsia" w:ascii="仿宋" w:hAnsi="仿宋" w:eastAsia="仿宋" w:cs="仿宋"/>
          <w:i w:val="0"/>
          <w:iCs w:val="0"/>
          <w:caps w:val="0"/>
          <w:color w:val="333333"/>
          <w:spacing w:val="0"/>
          <w:kern w:val="0"/>
          <w:sz w:val="28"/>
          <w:szCs w:val="28"/>
          <w:shd w:val="clear" w:fill="FFFFFF"/>
          <w:lang w:val="en-US" w:eastAsia="zh-CN" w:bidi="ar"/>
        </w:rPr>
        <w:t>艺缘活动中心313</w:t>
      </w:r>
      <w:r>
        <w:rPr>
          <w:rFonts w:hint="eastAsia" w:ascii="仿宋" w:hAnsi="仿宋" w:eastAsia="仿宋" w:cs="仿宋"/>
          <w:i w:val="0"/>
          <w:iCs w:val="0"/>
          <w:caps w:val="0"/>
          <w:color w:val="333333"/>
          <w:spacing w:val="0"/>
          <w:kern w:val="0"/>
          <w:sz w:val="28"/>
          <w:szCs w:val="28"/>
          <w:shd w:val="clear" w:fill="FFFFFF"/>
          <w:lang w:val="zh-CN" w:eastAsia="zh-CN" w:bidi="ar"/>
        </w:rPr>
        <w:t>室 （报名时需持本人身份证原件、加盖公章的单位营业执照副本复印件及法人授权书）。</w:t>
      </w:r>
      <w:r>
        <w:rPr>
          <w:rFonts w:hint="eastAsia" w:ascii="仿宋" w:hAnsi="仿宋" w:eastAsia="仿宋" w:cs="仿宋"/>
          <w:i w:val="0"/>
          <w:iCs w:val="0"/>
          <w:caps w:val="0"/>
          <w:color w:val="333333"/>
          <w:spacing w:val="0"/>
          <w:sz w:val="28"/>
          <w:szCs w:val="28"/>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i w:val="0"/>
          <w:iCs w:val="0"/>
          <w:caps w:val="0"/>
          <w:color w:val="333333"/>
          <w:spacing w:val="0"/>
          <w:sz w:val="28"/>
          <w:szCs w:val="28"/>
          <w:shd w:val="clear" w:fill="FFFFFF"/>
        </w:rPr>
        <w:t>（四）项目评审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评审地点与提交参与材料地点相同。到达提交材料截止时间后，产权人将公开所有意向参与人的报价，并由评审专家按照本公告和评标办法进行资格审查和评审，按得分从高到低确定合作方。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联系电话：</w:t>
      </w:r>
      <w:r>
        <w:rPr>
          <w:rFonts w:hint="eastAsia" w:ascii="仿宋" w:hAnsi="仿宋" w:eastAsia="仿宋" w:cs="仿宋"/>
          <w:i w:val="0"/>
          <w:iCs w:val="0"/>
          <w:caps w:val="0"/>
          <w:color w:val="333333"/>
          <w:spacing w:val="0"/>
          <w:sz w:val="28"/>
          <w:szCs w:val="28"/>
          <w:shd w:val="clear" w:fill="FFFFFF"/>
          <w:lang w:val="en-US" w:eastAsia="zh-CN"/>
        </w:rPr>
        <w:t>83955900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附件：评分标准</w:t>
      </w:r>
    </w:p>
    <w:tbl>
      <w:tblPr>
        <w:tblStyle w:val="4"/>
        <w:tblpPr w:leftFromText="180" w:rightFromText="180" w:vertAnchor="page" w:horzAnchor="margin" w:tblpXSpec="center" w:tblpY="2236"/>
        <w:tblW w:w="87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501"/>
        <w:gridCol w:w="243"/>
        <w:gridCol w:w="1061"/>
        <w:gridCol w:w="797"/>
        <w:gridCol w:w="5087"/>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blHeader/>
        </w:trPr>
        <w:tc>
          <w:tcPr>
            <w:tcW w:w="918" w:type="dxa"/>
            <w:gridSpan w:val="2"/>
            <w:noWrap w:val="0"/>
            <w:vAlign w:val="center"/>
          </w:tcPr>
          <w:p>
            <w:pPr>
              <w:autoSpaceDE w:val="0"/>
              <w:autoSpaceDN w:val="0"/>
              <w:ind w:left="105" w:leftChars="50" w:right="105" w:rightChars="50"/>
              <w:jc w:val="center"/>
              <w:rPr>
                <w:rFonts w:ascii="宋体" w:hAnsi="宋体"/>
                <w:b/>
                <w:kern w:val="0"/>
                <w:sz w:val="24"/>
                <w:lang w:eastAsia="en-US"/>
              </w:rPr>
            </w:pPr>
            <w:r>
              <w:rPr>
                <w:rFonts w:hint="eastAsia" w:ascii="宋体" w:hAnsi="宋体"/>
                <w:b/>
                <w:kern w:val="0"/>
                <w:sz w:val="24"/>
                <w:lang w:eastAsia="en-US"/>
              </w:rPr>
              <w:t>总项名称</w:t>
            </w:r>
          </w:p>
        </w:tc>
        <w:tc>
          <w:tcPr>
            <w:tcW w:w="1304" w:type="dxa"/>
            <w:gridSpan w:val="2"/>
            <w:noWrap w:val="0"/>
            <w:vAlign w:val="center"/>
          </w:tcPr>
          <w:p>
            <w:pPr>
              <w:autoSpaceDE w:val="0"/>
              <w:autoSpaceDN w:val="0"/>
              <w:ind w:left="105" w:leftChars="50" w:right="105" w:rightChars="50"/>
              <w:jc w:val="center"/>
              <w:rPr>
                <w:rFonts w:ascii="宋体" w:hAnsi="宋体"/>
                <w:b/>
                <w:kern w:val="0"/>
                <w:sz w:val="24"/>
                <w:lang w:eastAsia="en-US"/>
              </w:rPr>
            </w:pPr>
            <w:r>
              <w:rPr>
                <w:rFonts w:hint="eastAsia" w:ascii="宋体" w:hAnsi="宋体"/>
                <w:b/>
                <w:kern w:val="0"/>
                <w:sz w:val="24"/>
                <w:lang w:eastAsia="en-US"/>
              </w:rPr>
              <w:t>总项描述</w:t>
            </w:r>
          </w:p>
        </w:tc>
        <w:tc>
          <w:tcPr>
            <w:tcW w:w="797" w:type="dxa"/>
            <w:noWrap w:val="0"/>
            <w:vAlign w:val="center"/>
          </w:tcPr>
          <w:p>
            <w:pPr>
              <w:autoSpaceDE w:val="0"/>
              <w:autoSpaceDN w:val="0"/>
              <w:ind w:left="105" w:leftChars="50" w:right="105" w:rightChars="50"/>
              <w:jc w:val="center"/>
              <w:rPr>
                <w:rFonts w:ascii="宋体" w:hAnsi="宋体"/>
                <w:b/>
                <w:kern w:val="0"/>
                <w:sz w:val="24"/>
                <w:lang w:eastAsia="en-US"/>
              </w:rPr>
            </w:pPr>
            <w:r>
              <w:rPr>
                <w:rFonts w:hint="eastAsia" w:ascii="宋体" w:hAnsi="宋体"/>
                <w:b/>
                <w:kern w:val="0"/>
                <w:sz w:val="24"/>
                <w:lang w:eastAsia="en-US"/>
              </w:rPr>
              <w:t>分项名称</w:t>
            </w:r>
          </w:p>
        </w:tc>
        <w:tc>
          <w:tcPr>
            <w:tcW w:w="5087" w:type="dxa"/>
            <w:noWrap w:val="0"/>
            <w:vAlign w:val="center"/>
          </w:tcPr>
          <w:p>
            <w:pPr>
              <w:autoSpaceDE w:val="0"/>
              <w:autoSpaceDN w:val="0"/>
              <w:jc w:val="center"/>
              <w:rPr>
                <w:rFonts w:ascii="宋体" w:hAnsi="宋体"/>
                <w:b/>
                <w:kern w:val="0"/>
                <w:sz w:val="24"/>
              </w:rPr>
            </w:pPr>
            <w:r>
              <w:rPr>
                <w:rFonts w:hint="eastAsia" w:ascii="宋体" w:hAnsi="宋体"/>
                <w:b/>
                <w:kern w:val="0"/>
                <w:sz w:val="24"/>
              </w:rPr>
              <w:t>分项描述（评分标准）</w:t>
            </w:r>
          </w:p>
        </w:tc>
        <w:tc>
          <w:tcPr>
            <w:tcW w:w="652" w:type="dxa"/>
            <w:noWrap w:val="0"/>
            <w:vAlign w:val="center"/>
          </w:tcPr>
          <w:p>
            <w:pPr>
              <w:autoSpaceDE w:val="0"/>
              <w:autoSpaceDN w:val="0"/>
              <w:ind w:left="105" w:leftChars="50" w:right="105" w:rightChars="50"/>
              <w:jc w:val="center"/>
              <w:rPr>
                <w:rFonts w:ascii="宋体" w:hAnsi="宋体"/>
                <w:b/>
                <w:kern w:val="0"/>
                <w:sz w:val="24"/>
                <w:lang w:eastAsia="en-US"/>
              </w:rPr>
            </w:pPr>
            <w:r>
              <w:rPr>
                <w:rFonts w:hint="eastAsia" w:ascii="宋体" w:hAnsi="宋体"/>
                <w:b/>
                <w:kern w:val="0"/>
                <w:sz w:val="24"/>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1228" w:hRule="atLeast"/>
        </w:trPr>
        <w:tc>
          <w:tcPr>
            <w:tcW w:w="744" w:type="dxa"/>
            <w:gridSpan w:val="2"/>
            <w:vMerge w:val="restart"/>
            <w:noWrap w:val="0"/>
            <w:vAlign w:val="center"/>
          </w:tcPr>
          <w:p>
            <w:pPr>
              <w:topLinePunct/>
              <w:autoSpaceDE w:val="0"/>
              <w:ind w:left="105" w:leftChars="50" w:right="105" w:rightChars="50"/>
              <w:jc w:val="center"/>
              <w:rPr>
                <w:rFonts w:ascii="宋体" w:hAnsi="宋体"/>
                <w:kern w:val="0"/>
                <w:sz w:val="18"/>
                <w:szCs w:val="18"/>
              </w:rPr>
            </w:pPr>
            <w:r>
              <w:rPr>
                <w:rFonts w:hint="eastAsia" w:ascii="宋体" w:hAnsi="宋体" w:eastAsia="Times New Roman"/>
                <w:kern w:val="0"/>
                <w:sz w:val="18"/>
                <w:szCs w:val="18"/>
              </w:rPr>
              <w:t>商务分</w:t>
            </w:r>
          </w:p>
          <w:p>
            <w:pPr>
              <w:topLinePunct/>
              <w:autoSpaceDE w:val="0"/>
              <w:ind w:left="105" w:leftChars="50" w:right="105" w:rightChars="50"/>
              <w:jc w:val="center"/>
              <w:rPr>
                <w:rFonts w:ascii="宋体" w:hAnsi="宋体"/>
                <w:kern w:val="0"/>
                <w:sz w:val="18"/>
                <w:szCs w:val="18"/>
                <w:lang w:eastAsia="en-US"/>
              </w:rPr>
            </w:pPr>
            <w:r>
              <w:rPr>
                <w:rFonts w:hint="eastAsia" w:ascii="宋体" w:hAnsi="宋体"/>
                <w:kern w:val="0"/>
                <w:sz w:val="18"/>
                <w:szCs w:val="18"/>
                <w:lang w:eastAsia="en-US"/>
              </w:rPr>
              <w:t>（</w:t>
            </w:r>
            <w:r>
              <w:rPr>
                <w:rFonts w:hint="eastAsia" w:ascii="宋体" w:hAnsi="宋体"/>
                <w:kern w:val="0"/>
                <w:sz w:val="18"/>
                <w:szCs w:val="18"/>
                <w:lang w:val="en-US" w:eastAsia="zh-CN"/>
              </w:rPr>
              <w:t>50</w:t>
            </w:r>
            <w:r>
              <w:rPr>
                <w:rFonts w:hint="eastAsia" w:ascii="宋体" w:hAnsi="宋体"/>
                <w:kern w:val="0"/>
                <w:sz w:val="18"/>
                <w:szCs w:val="18"/>
                <w:lang w:eastAsia="en-US"/>
              </w:rPr>
              <w:t>分）</w:t>
            </w:r>
          </w:p>
        </w:tc>
        <w:tc>
          <w:tcPr>
            <w:tcW w:w="1061" w:type="dxa"/>
            <w:vMerge w:val="restart"/>
            <w:noWrap w:val="0"/>
            <w:vAlign w:val="center"/>
          </w:tcPr>
          <w:p>
            <w:pPr>
              <w:topLinePunct/>
              <w:autoSpaceDE w:val="0"/>
              <w:ind w:left="105" w:leftChars="50" w:right="105" w:rightChars="50"/>
              <w:jc w:val="center"/>
              <w:rPr>
                <w:rFonts w:ascii="宋体" w:hAnsi="宋体"/>
                <w:kern w:val="0"/>
                <w:sz w:val="18"/>
                <w:szCs w:val="18"/>
              </w:rPr>
            </w:pPr>
            <w:r>
              <w:rPr>
                <w:rFonts w:hint="eastAsia" w:ascii="宋体" w:hAnsi="宋体"/>
                <w:kern w:val="0"/>
                <w:sz w:val="18"/>
                <w:szCs w:val="18"/>
              </w:rPr>
              <w:t>评价</w:t>
            </w:r>
            <w:r>
              <w:rPr>
                <w:rFonts w:hint="eastAsia" w:ascii="宋体" w:hAnsi="宋体"/>
                <w:spacing w:val="-1"/>
                <w:kern w:val="0"/>
                <w:sz w:val="18"/>
                <w:szCs w:val="18"/>
              </w:rPr>
              <w:t>合作方</w:t>
            </w:r>
            <w:r>
              <w:rPr>
                <w:rFonts w:hint="eastAsia" w:ascii="宋体" w:hAnsi="宋体"/>
                <w:kern w:val="0"/>
                <w:sz w:val="18"/>
                <w:szCs w:val="18"/>
              </w:rPr>
              <w:t>管理能力和水平，满分</w:t>
            </w:r>
            <w:r>
              <w:rPr>
                <w:rFonts w:hint="eastAsia" w:ascii="宋体" w:hAnsi="宋体"/>
                <w:kern w:val="0"/>
                <w:sz w:val="18"/>
                <w:szCs w:val="18"/>
                <w:lang w:val="en-US" w:eastAsia="zh-CN"/>
              </w:rPr>
              <w:t>50</w:t>
            </w:r>
            <w:r>
              <w:rPr>
                <w:rFonts w:hint="eastAsia" w:ascii="宋体" w:hAnsi="宋体"/>
                <w:kern w:val="0"/>
                <w:sz w:val="18"/>
                <w:szCs w:val="18"/>
              </w:rPr>
              <w:t>分。</w:t>
            </w:r>
          </w:p>
        </w:tc>
        <w:tc>
          <w:tcPr>
            <w:tcW w:w="797" w:type="dxa"/>
            <w:noWrap w:val="0"/>
            <w:vAlign w:val="center"/>
          </w:tcPr>
          <w:p>
            <w:pPr>
              <w:autoSpaceDE w:val="0"/>
              <w:autoSpaceDN w:val="0"/>
              <w:ind w:left="105" w:leftChars="50" w:right="105" w:rightChars="50"/>
              <w:jc w:val="center"/>
              <w:rPr>
                <w:rFonts w:ascii="宋体" w:hAnsi="宋体" w:cs="微软雅黑"/>
                <w:color w:val="000000"/>
                <w:kern w:val="0"/>
                <w:sz w:val="18"/>
                <w:szCs w:val="18"/>
              </w:rPr>
            </w:pPr>
            <w:r>
              <w:rPr>
                <w:rFonts w:hint="eastAsia" w:ascii="宋体" w:hAnsi="宋体" w:cs="微软雅黑"/>
                <w:color w:val="000000"/>
                <w:kern w:val="0"/>
                <w:sz w:val="18"/>
                <w:szCs w:val="18"/>
                <w:lang w:eastAsia="en-US"/>
              </w:rPr>
              <w:t>管理认证</w:t>
            </w:r>
          </w:p>
        </w:tc>
        <w:tc>
          <w:tcPr>
            <w:tcW w:w="5087" w:type="dxa"/>
            <w:noWrap w:val="0"/>
            <w:vAlign w:val="center"/>
          </w:tcPr>
          <w:p>
            <w:pPr>
              <w:topLinePunct/>
              <w:ind w:left="105" w:leftChars="50" w:right="105" w:rightChars="50"/>
              <w:jc w:val="center"/>
              <w:textAlignment w:val="baseline"/>
              <w:rPr>
                <w:rFonts w:ascii="宋体" w:hAnsi="宋体" w:cs="微软雅黑"/>
                <w:bCs/>
                <w:color w:val="000000"/>
                <w:kern w:val="0"/>
                <w:sz w:val="18"/>
                <w:szCs w:val="18"/>
              </w:rPr>
            </w:pPr>
            <w:r>
              <w:rPr>
                <w:rFonts w:hint="eastAsia" w:ascii="宋体" w:hAnsi="宋体" w:eastAsia="Times New Roman" w:cs="微软雅黑"/>
                <w:bCs/>
                <w:color w:val="000000"/>
                <w:kern w:val="0"/>
                <w:sz w:val="18"/>
                <w:szCs w:val="18"/>
              </w:rPr>
              <w:t>自助雪糕智能柜厂家</w:t>
            </w:r>
            <w:r>
              <w:rPr>
                <w:rFonts w:hint="eastAsia" w:ascii="宋体" w:hAnsi="宋体" w:cs="微软雅黑"/>
                <w:bCs/>
                <w:color w:val="000000"/>
                <w:kern w:val="0"/>
                <w:sz w:val="18"/>
                <w:szCs w:val="18"/>
              </w:rPr>
              <w:t>是否具有</w:t>
            </w:r>
            <w:r>
              <w:rPr>
                <w:rFonts w:ascii="宋体" w:hAnsi="宋体" w:cs="微软雅黑"/>
                <w:bCs/>
                <w:color w:val="000000"/>
                <w:kern w:val="0"/>
                <w:sz w:val="18"/>
                <w:szCs w:val="18"/>
              </w:rPr>
              <w:t>ISO9001</w:t>
            </w:r>
            <w:r>
              <w:rPr>
                <w:rFonts w:hint="eastAsia" w:ascii="宋体" w:hAnsi="宋体" w:cs="微软雅黑"/>
                <w:bCs/>
                <w:color w:val="000000"/>
                <w:kern w:val="0"/>
                <w:sz w:val="18"/>
                <w:szCs w:val="18"/>
              </w:rPr>
              <w:t>质量管理体系认证、</w:t>
            </w:r>
            <w:r>
              <w:rPr>
                <w:rFonts w:ascii="宋体" w:hAnsi="宋体" w:cs="微软雅黑"/>
                <w:bCs/>
                <w:color w:val="000000"/>
                <w:kern w:val="0"/>
                <w:sz w:val="18"/>
                <w:szCs w:val="18"/>
              </w:rPr>
              <w:t>ISO14001环境管理体系认证、</w:t>
            </w:r>
            <w:r>
              <w:rPr>
                <w:rFonts w:hint="eastAsia" w:ascii="宋体" w:hAnsi="宋体" w:eastAsia="Times New Roman" w:cs="微软雅黑"/>
                <w:bCs/>
                <w:color w:val="000000"/>
                <w:kern w:val="0"/>
                <w:sz w:val="18"/>
                <w:szCs w:val="18"/>
              </w:rPr>
              <w:t>ISO45001</w:t>
            </w:r>
            <w:r>
              <w:rPr>
                <w:rFonts w:ascii="宋体" w:hAnsi="宋体" w:eastAsia="Times New Roman" w:cs="微软雅黑"/>
                <w:bCs/>
                <w:color w:val="000000"/>
                <w:kern w:val="0"/>
                <w:sz w:val="18"/>
                <w:szCs w:val="18"/>
              </w:rPr>
              <w:t>职业健康安全管理体系</w:t>
            </w:r>
            <w:r>
              <w:rPr>
                <w:rFonts w:ascii="宋体" w:hAnsi="宋体" w:cs="微软雅黑"/>
                <w:bCs/>
                <w:color w:val="000000"/>
                <w:kern w:val="0"/>
                <w:sz w:val="18"/>
                <w:szCs w:val="18"/>
              </w:rPr>
              <w:t>认证</w:t>
            </w:r>
            <w:r>
              <w:rPr>
                <w:rFonts w:hint="eastAsia" w:ascii="宋体" w:hAnsi="宋体" w:cs="微软雅黑"/>
                <w:bCs/>
                <w:color w:val="000000"/>
                <w:kern w:val="0"/>
                <w:sz w:val="18"/>
                <w:szCs w:val="18"/>
              </w:rPr>
              <w:t>证书且在有效期内。</w:t>
            </w:r>
            <w:r>
              <w:rPr>
                <w:rFonts w:hint="eastAsia" w:ascii="宋体" w:hAnsi="宋体" w:cs="宋体"/>
                <w:color w:val="000000"/>
                <w:kern w:val="0"/>
                <w:sz w:val="18"/>
                <w:szCs w:val="18"/>
              </w:rPr>
              <w:t>须提供证书扫描件。</w:t>
            </w:r>
            <w:r>
              <w:rPr>
                <w:rFonts w:hint="eastAsia" w:ascii="宋体" w:hAnsi="宋体" w:cs="微软雅黑"/>
                <w:bCs/>
                <w:color w:val="000000"/>
                <w:kern w:val="0"/>
                <w:sz w:val="18"/>
                <w:szCs w:val="18"/>
              </w:rPr>
              <w:t>每个证书得</w:t>
            </w:r>
            <w:r>
              <w:rPr>
                <w:rFonts w:hint="eastAsia" w:ascii="宋体" w:hAnsi="宋体" w:cs="微软雅黑"/>
                <w:bCs/>
                <w:color w:val="000000"/>
                <w:kern w:val="0"/>
                <w:sz w:val="18"/>
                <w:szCs w:val="18"/>
                <w:lang w:val="en-US" w:eastAsia="zh-CN"/>
              </w:rPr>
              <w:t>5</w:t>
            </w:r>
            <w:r>
              <w:rPr>
                <w:rFonts w:hint="eastAsia" w:ascii="宋体" w:hAnsi="宋体" w:cs="微软雅黑"/>
                <w:bCs/>
                <w:color w:val="000000"/>
                <w:kern w:val="0"/>
                <w:sz w:val="18"/>
                <w:szCs w:val="18"/>
              </w:rPr>
              <w:t>分，最高</w:t>
            </w:r>
            <w:r>
              <w:rPr>
                <w:rFonts w:hint="eastAsia" w:ascii="宋体" w:hAnsi="宋体" w:cs="微软雅黑"/>
                <w:bCs/>
                <w:color w:val="000000"/>
                <w:kern w:val="0"/>
                <w:sz w:val="18"/>
                <w:szCs w:val="18"/>
                <w:lang w:val="en-US" w:eastAsia="zh-CN"/>
              </w:rPr>
              <w:t>20</w:t>
            </w:r>
            <w:r>
              <w:rPr>
                <w:rFonts w:hint="eastAsia" w:ascii="宋体" w:hAnsi="宋体" w:cs="微软雅黑"/>
                <w:bCs/>
                <w:color w:val="000000"/>
                <w:kern w:val="0"/>
                <w:sz w:val="18"/>
                <w:szCs w:val="18"/>
              </w:rPr>
              <w:t>分。</w:t>
            </w:r>
          </w:p>
        </w:tc>
        <w:tc>
          <w:tcPr>
            <w:tcW w:w="652" w:type="dxa"/>
            <w:noWrap w:val="0"/>
            <w:vAlign w:val="center"/>
          </w:tcPr>
          <w:p>
            <w:pPr>
              <w:autoSpaceDE w:val="0"/>
              <w:autoSpaceDN w:val="0"/>
              <w:ind w:left="105" w:leftChars="50" w:right="105" w:rightChars="50"/>
              <w:jc w:val="center"/>
              <w:rPr>
                <w:rFonts w:hint="default" w:ascii="宋体" w:hAnsi="宋体" w:eastAsia="宋体" w:cs="微软雅黑"/>
                <w:color w:val="000000"/>
                <w:kern w:val="0"/>
                <w:sz w:val="18"/>
                <w:szCs w:val="18"/>
                <w:lang w:val="en-US" w:eastAsia="zh-CN"/>
              </w:rPr>
            </w:pPr>
            <w:r>
              <w:rPr>
                <w:rFonts w:hint="eastAsia" w:ascii="宋体" w:hAnsi="宋体" w:cs="微软雅黑"/>
                <w:color w:val="000000"/>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917" w:hRule="atLeast"/>
        </w:trPr>
        <w:tc>
          <w:tcPr>
            <w:tcW w:w="744" w:type="dxa"/>
            <w:gridSpan w:val="2"/>
            <w:vMerge w:val="continue"/>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1061" w:type="dxa"/>
            <w:vMerge w:val="continue"/>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797" w:type="dxa"/>
            <w:noWrap w:val="0"/>
            <w:vAlign w:val="center"/>
          </w:tcPr>
          <w:p>
            <w:pPr>
              <w:autoSpaceDE w:val="0"/>
              <w:autoSpaceDN w:val="0"/>
              <w:ind w:left="105" w:leftChars="50" w:right="105" w:rightChars="50"/>
              <w:jc w:val="center"/>
              <w:rPr>
                <w:rFonts w:hint="eastAsia" w:ascii="宋体" w:hAnsi="宋体" w:eastAsia="Times New Roman" w:cs="微软雅黑"/>
                <w:color w:val="000000"/>
                <w:kern w:val="0"/>
                <w:sz w:val="18"/>
                <w:szCs w:val="18"/>
                <w:lang w:eastAsia="en-US"/>
              </w:rPr>
            </w:pPr>
            <w:r>
              <w:rPr>
                <w:rFonts w:hint="eastAsia" w:ascii="宋体" w:hAnsi="宋体"/>
                <w:kern w:val="0"/>
                <w:sz w:val="18"/>
                <w:szCs w:val="18"/>
                <w:lang w:eastAsia="en-US"/>
              </w:rPr>
              <w:t>管理制度</w:t>
            </w:r>
          </w:p>
        </w:tc>
        <w:tc>
          <w:tcPr>
            <w:tcW w:w="5087" w:type="dxa"/>
            <w:noWrap w:val="0"/>
            <w:vAlign w:val="center"/>
          </w:tcPr>
          <w:p>
            <w:pPr>
              <w:topLinePunct/>
              <w:autoSpaceDE w:val="0"/>
              <w:autoSpaceDN w:val="0"/>
              <w:ind w:left="105" w:leftChars="50" w:right="105" w:rightChars="50"/>
              <w:jc w:val="center"/>
              <w:textAlignment w:val="baseline"/>
              <w:rPr>
                <w:rFonts w:hint="eastAsia" w:ascii="宋体" w:hAnsi="宋体" w:eastAsia="Times New Roman" w:cs="微软雅黑"/>
                <w:bCs/>
                <w:color w:val="000000"/>
                <w:kern w:val="0"/>
                <w:sz w:val="18"/>
                <w:szCs w:val="18"/>
              </w:rPr>
            </w:pPr>
            <w:r>
              <w:rPr>
                <w:rFonts w:hint="eastAsia" w:ascii="宋体" w:hAnsi="宋体"/>
                <w:kern w:val="0"/>
                <w:sz w:val="18"/>
                <w:szCs w:val="18"/>
              </w:rPr>
              <w:t>合作方企业管理制度、工作流程是否健全、完善。需提供企业各项管理制度、工作流程、工作规范、考核办法等。</w:t>
            </w:r>
          </w:p>
        </w:tc>
        <w:tc>
          <w:tcPr>
            <w:tcW w:w="652" w:type="dxa"/>
            <w:noWrap w:val="0"/>
            <w:vAlign w:val="center"/>
          </w:tcPr>
          <w:p>
            <w:pPr>
              <w:autoSpaceDE w:val="0"/>
              <w:autoSpaceDN w:val="0"/>
              <w:ind w:left="105" w:leftChars="50" w:right="105" w:rightChars="50"/>
              <w:jc w:val="center"/>
              <w:rPr>
                <w:rFonts w:hint="eastAsia" w:ascii="宋体" w:hAnsi="宋体" w:eastAsia="宋体" w:cs="微软雅黑"/>
                <w:color w:val="000000"/>
                <w:kern w:val="0"/>
                <w:sz w:val="18"/>
                <w:szCs w:val="18"/>
                <w:lang w:val="en-US" w:eastAsia="zh-CN"/>
              </w:rPr>
            </w:pPr>
            <w:r>
              <w:rPr>
                <w:rFonts w:hint="eastAsia" w:ascii="宋体" w:hAnsi="宋体" w:cs="微软雅黑"/>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799" w:hRule="atLeast"/>
        </w:trPr>
        <w:tc>
          <w:tcPr>
            <w:tcW w:w="744" w:type="dxa"/>
            <w:gridSpan w:val="2"/>
            <w:vMerge w:val="continue"/>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1061" w:type="dxa"/>
            <w:vMerge w:val="continue"/>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797" w:type="dxa"/>
            <w:noWrap w:val="0"/>
            <w:vAlign w:val="center"/>
          </w:tcPr>
          <w:p>
            <w:pPr>
              <w:autoSpaceDE w:val="0"/>
              <w:autoSpaceDN w:val="0"/>
              <w:ind w:left="105" w:leftChars="50" w:right="105" w:rightChars="50"/>
              <w:jc w:val="center"/>
              <w:rPr>
                <w:rFonts w:hint="eastAsia" w:ascii="宋体" w:hAnsi="宋体" w:eastAsia="Times New Roman"/>
                <w:kern w:val="0"/>
                <w:sz w:val="18"/>
                <w:szCs w:val="18"/>
              </w:rPr>
            </w:pPr>
            <w:r>
              <w:rPr>
                <w:rFonts w:hint="eastAsia" w:ascii="宋体" w:hAnsi="宋体"/>
                <w:kern w:val="0"/>
                <w:sz w:val="18"/>
                <w:szCs w:val="18"/>
                <w:lang w:eastAsia="en-US"/>
              </w:rPr>
              <w:t>品牌认知</w:t>
            </w:r>
          </w:p>
        </w:tc>
        <w:tc>
          <w:tcPr>
            <w:tcW w:w="5087" w:type="dxa"/>
            <w:noWrap w:val="0"/>
            <w:vAlign w:val="center"/>
          </w:tcPr>
          <w:p>
            <w:pPr>
              <w:topLinePunct/>
              <w:autoSpaceDE w:val="0"/>
              <w:autoSpaceDN w:val="0"/>
              <w:ind w:left="105" w:leftChars="50" w:right="105" w:rightChars="50"/>
              <w:jc w:val="center"/>
              <w:textAlignment w:val="baseline"/>
              <w:rPr>
                <w:rFonts w:hint="eastAsia" w:ascii="宋体" w:hAnsi="宋体" w:eastAsia="Times New Roman"/>
                <w:kern w:val="0"/>
                <w:sz w:val="18"/>
                <w:szCs w:val="18"/>
              </w:rPr>
            </w:pPr>
            <w:r>
              <w:rPr>
                <w:rFonts w:hint="eastAsia" w:ascii="宋体" w:hAnsi="宋体" w:eastAsia="Times New Roman"/>
                <w:kern w:val="0"/>
                <w:sz w:val="18"/>
                <w:szCs w:val="18"/>
              </w:rPr>
              <w:t>经营货品</w:t>
            </w:r>
            <w:r>
              <w:rPr>
                <w:rFonts w:hint="eastAsia" w:ascii="宋体" w:hAnsi="宋体"/>
                <w:kern w:val="0"/>
                <w:sz w:val="18"/>
                <w:szCs w:val="18"/>
              </w:rPr>
              <w:t>品牌是否拥有较高知名度。根据评委认知得分</w:t>
            </w:r>
          </w:p>
        </w:tc>
        <w:tc>
          <w:tcPr>
            <w:tcW w:w="652" w:type="dxa"/>
            <w:noWrap w:val="0"/>
            <w:vAlign w:val="center"/>
          </w:tcPr>
          <w:p>
            <w:pPr>
              <w:autoSpaceDE w:val="0"/>
              <w:autoSpaceDN w:val="0"/>
              <w:ind w:left="105" w:leftChars="50" w:right="105" w:rightChars="50"/>
              <w:jc w:val="center"/>
              <w:rPr>
                <w:rFonts w:hint="eastAsia" w:ascii="宋体" w:hAnsi="宋体" w:eastAsia="宋体" w:cs="微软雅黑"/>
                <w:color w:val="000000"/>
                <w:kern w:val="0"/>
                <w:sz w:val="18"/>
                <w:szCs w:val="18"/>
                <w:lang w:val="en-US" w:eastAsia="zh-CN"/>
              </w:rPr>
            </w:pPr>
            <w:r>
              <w:rPr>
                <w:rFonts w:hint="eastAsia" w:ascii="宋体" w:hAnsi="宋体" w:cs="微软雅黑"/>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902" w:hRule="atLeast"/>
        </w:trPr>
        <w:tc>
          <w:tcPr>
            <w:tcW w:w="744" w:type="dxa"/>
            <w:gridSpan w:val="2"/>
            <w:vMerge w:val="continue"/>
            <w:noWrap w:val="0"/>
            <w:vAlign w:val="center"/>
          </w:tcPr>
          <w:p>
            <w:pPr>
              <w:autoSpaceDE w:val="0"/>
              <w:autoSpaceDN w:val="0"/>
              <w:ind w:left="105" w:leftChars="50" w:right="105" w:rightChars="50"/>
              <w:jc w:val="center"/>
              <w:rPr>
                <w:rFonts w:ascii="宋体" w:hAnsi="宋体"/>
                <w:kern w:val="0"/>
                <w:sz w:val="18"/>
                <w:szCs w:val="18"/>
              </w:rPr>
            </w:pPr>
          </w:p>
        </w:tc>
        <w:tc>
          <w:tcPr>
            <w:tcW w:w="1061" w:type="dxa"/>
            <w:vMerge w:val="continue"/>
            <w:noWrap w:val="0"/>
            <w:vAlign w:val="center"/>
          </w:tcPr>
          <w:p>
            <w:pPr>
              <w:topLinePunct/>
              <w:autoSpaceDE w:val="0"/>
              <w:ind w:left="105" w:leftChars="50" w:right="105" w:rightChars="50"/>
              <w:jc w:val="center"/>
              <w:rPr>
                <w:rFonts w:ascii="宋体" w:hAnsi="宋体"/>
                <w:kern w:val="0"/>
                <w:sz w:val="18"/>
                <w:szCs w:val="18"/>
              </w:rPr>
            </w:pPr>
          </w:p>
        </w:tc>
        <w:tc>
          <w:tcPr>
            <w:tcW w:w="797" w:type="dxa"/>
            <w:noWrap w:val="0"/>
            <w:vAlign w:val="center"/>
          </w:tcPr>
          <w:p>
            <w:pPr>
              <w:autoSpaceDE w:val="0"/>
              <w:autoSpaceDN w:val="0"/>
              <w:ind w:left="105" w:leftChars="50" w:right="105" w:rightChars="50"/>
              <w:jc w:val="center"/>
              <w:rPr>
                <w:rFonts w:ascii="宋体" w:hAnsi="宋体"/>
                <w:kern w:val="0"/>
                <w:sz w:val="18"/>
                <w:szCs w:val="18"/>
              </w:rPr>
            </w:pPr>
            <w:r>
              <w:rPr>
                <w:rFonts w:hint="eastAsia" w:ascii="宋体" w:hAnsi="宋体" w:eastAsia="Times New Roman"/>
                <w:kern w:val="0"/>
                <w:sz w:val="18"/>
                <w:szCs w:val="18"/>
              </w:rPr>
              <w:t>类似项目业绩</w:t>
            </w:r>
          </w:p>
        </w:tc>
        <w:tc>
          <w:tcPr>
            <w:tcW w:w="5087" w:type="dxa"/>
            <w:noWrap w:val="0"/>
            <w:vAlign w:val="center"/>
          </w:tcPr>
          <w:p>
            <w:pPr>
              <w:autoSpaceDE w:val="0"/>
              <w:autoSpaceDN w:val="0"/>
              <w:jc w:val="center"/>
              <w:rPr>
                <w:rFonts w:ascii="宋体" w:hAnsi="宋体" w:cs="微软雅黑"/>
                <w:color w:val="000000"/>
                <w:sz w:val="18"/>
                <w:szCs w:val="18"/>
              </w:rPr>
            </w:pPr>
            <w:r>
              <w:rPr>
                <w:rFonts w:hint="eastAsia" w:ascii="宋体" w:hAnsi="宋体"/>
                <w:kern w:val="0"/>
                <w:sz w:val="18"/>
                <w:szCs w:val="18"/>
              </w:rPr>
              <w:t>2022年1月1日以来类似项目业绩（以合同签订日为准），须提供合同扫描件，每个业绩得</w:t>
            </w:r>
            <w:r>
              <w:rPr>
                <w:rFonts w:hint="eastAsia" w:ascii="宋体" w:hAnsi="宋体"/>
                <w:kern w:val="0"/>
                <w:sz w:val="18"/>
                <w:szCs w:val="18"/>
                <w:lang w:val="en-US" w:eastAsia="zh-CN"/>
              </w:rPr>
              <w:t>5</w:t>
            </w:r>
            <w:r>
              <w:rPr>
                <w:rFonts w:hint="eastAsia" w:ascii="宋体" w:hAnsi="宋体"/>
                <w:kern w:val="0"/>
                <w:sz w:val="18"/>
                <w:szCs w:val="18"/>
              </w:rPr>
              <w:t>分，最高</w:t>
            </w:r>
            <w:r>
              <w:rPr>
                <w:rFonts w:hint="eastAsia" w:ascii="宋体" w:hAnsi="宋体"/>
                <w:kern w:val="0"/>
                <w:sz w:val="18"/>
                <w:szCs w:val="18"/>
                <w:lang w:val="en-US" w:eastAsia="zh-CN"/>
              </w:rPr>
              <w:t>20</w:t>
            </w:r>
            <w:r>
              <w:rPr>
                <w:rFonts w:hint="eastAsia" w:ascii="宋体" w:hAnsi="宋体"/>
                <w:kern w:val="0"/>
                <w:sz w:val="18"/>
                <w:szCs w:val="18"/>
              </w:rPr>
              <w:t>分。</w:t>
            </w:r>
          </w:p>
        </w:tc>
        <w:tc>
          <w:tcPr>
            <w:tcW w:w="652" w:type="dxa"/>
            <w:noWrap w:val="0"/>
            <w:vAlign w:val="center"/>
          </w:tcPr>
          <w:p>
            <w:pPr>
              <w:autoSpaceDE w:val="0"/>
              <w:autoSpaceDN w:val="0"/>
              <w:ind w:left="105" w:leftChars="50" w:right="105" w:rightChars="5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912" w:hRule="atLeast"/>
        </w:trPr>
        <w:tc>
          <w:tcPr>
            <w:tcW w:w="744" w:type="dxa"/>
            <w:gridSpan w:val="2"/>
            <w:vMerge w:val="restart"/>
            <w:noWrap w:val="0"/>
            <w:vAlign w:val="center"/>
          </w:tcPr>
          <w:p>
            <w:pPr>
              <w:autoSpaceDE w:val="0"/>
              <w:autoSpaceDN w:val="0"/>
              <w:ind w:left="105" w:leftChars="50" w:right="105" w:rightChars="50"/>
              <w:jc w:val="center"/>
              <w:rPr>
                <w:rFonts w:ascii="宋体" w:hAnsi="宋体" w:eastAsia="Times New Roman"/>
                <w:color w:val="000000"/>
                <w:kern w:val="0"/>
                <w:sz w:val="18"/>
                <w:szCs w:val="18"/>
                <w:lang w:eastAsia="en-US"/>
              </w:rPr>
            </w:pPr>
            <w:r>
              <w:rPr>
                <w:rFonts w:hint="eastAsia" w:ascii="宋体" w:hAnsi="宋体" w:eastAsia="Times New Roman"/>
                <w:color w:val="000000"/>
                <w:kern w:val="0"/>
                <w:sz w:val="18"/>
                <w:szCs w:val="18"/>
                <w:lang w:eastAsia="en-US"/>
              </w:rPr>
              <w:t>服务</w:t>
            </w:r>
            <w:r>
              <w:rPr>
                <w:rFonts w:hint="eastAsia" w:ascii="宋体" w:hAnsi="宋体" w:cs="宋体"/>
                <w:color w:val="000000"/>
                <w:kern w:val="0"/>
                <w:sz w:val="18"/>
                <w:szCs w:val="18"/>
                <w:lang w:eastAsia="en-US"/>
              </w:rPr>
              <w:t>质量</w:t>
            </w:r>
          </w:p>
          <w:p>
            <w:pPr>
              <w:autoSpaceDE w:val="0"/>
              <w:autoSpaceDN w:val="0"/>
              <w:ind w:right="-2" w:rightChars="-1"/>
              <w:jc w:val="center"/>
              <w:rPr>
                <w:rFonts w:ascii="宋体" w:hAnsi="宋体"/>
                <w:kern w:val="0"/>
                <w:sz w:val="18"/>
                <w:szCs w:val="18"/>
                <w:lang w:eastAsia="en-US"/>
              </w:rPr>
            </w:pPr>
            <w:r>
              <w:rPr>
                <w:rFonts w:hint="eastAsia" w:ascii="宋体" w:hAnsi="宋体"/>
                <w:kern w:val="0"/>
                <w:sz w:val="18"/>
                <w:szCs w:val="18"/>
                <w:lang w:eastAsia="en-US"/>
              </w:rPr>
              <w:t>（</w:t>
            </w:r>
            <w:r>
              <w:rPr>
                <w:rFonts w:hint="eastAsia" w:ascii="宋体" w:hAnsi="宋体"/>
                <w:kern w:val="0"/>
                <w:sz w:val="18"/>
                <w:szCs w:val="18"/>
                <w:lang w:val="en-US" w:eastAsia="zh-CN"/>
              </w:rPr>
              <w:t>50</w:t>
            </w:r>
            <w:r>
              <w:rPr>
                <w:rFonts w:hint="eastAsia" w:ascii="宋体" w:hAnsi="宋体"/>
                <w:kern w:val="0"/>
                <w:sz w:val="18"/>
                <w:szCs w:val="18"/>
                <w:lang w:eastAsia="en-US"/>
              </w:rPr>
              <w:t>分）</w:t>
            </w:r>
          </w:p>
        </w:tc>
        <w:tc>
          <w:tcPr>
            <w:tcW w:w="1061" w:type="dxa"/>
            <w:vMerge w:val="restart"/>
            <w:noWrap w:val="0"/>
            <w:vAlign w:val="center"/>
          </w:tcPr>
          <w:p>
            <w:pPr>
              <w:topLinePunct/>
              <w:autoSpaceDE w:val="0"/>
              <w:autoSpaceDN w:val="0"/>
              <w:ind w:left="105" w:leftChars="50" w:right="105" w:rightChars="50"/>
              <w:jc w:val="center"/>
              <w:rPr>
                <w:rFonts w:ascii="宋体" w:hAnsi="宋体"/>
                <w:kern w:val="0"/>
                <w:sz w:val="18"/>
                <w:szCs w:val="18"/>
              </w:rPr>
            </w:pPr>
            <w:r>
              <w:rPr>
                <w:rFonts w:hint="eastAsia" w:ascii="宋体" w:hAnsi="宋体"/>
                <w:kern w:val="0"/>
                <w:sz w:val="18"/>
                <w:szCs w:val="18"/>
              </w:rPr>
              <w:t>评价承租方整体服务质量能力，满分</w:t>
            </w:r>
            <w:r>
              <w:rPr>
                <w:rFonts w:hint="eastAsia" w:ascii="宋体" w:hAnsi="宋体"/>
                <w:kern w:val="0"/>
                <w:sz w:val="18"/>
                <w:szCs w:val="18"/>
                <w:lang w:val="en-US" w:eastAsia="zh-CN"/>
              </w:rPr>
              <w:t>50</w:t>
            </w:r>
            <w:r>
              <w:rPr>
                <w:rFonts w:hint="eastAsia" w:ascii="宋体" w:hAnsi="宋体"/>
                <w:kern w:val="0"/>
                <w:sz w:val="18"/>
                <w:szCs w:val="18"/>
              </w:rPr>
              <w:t>分</w:t>
            </w:r>
          </w:p>
        </w:tc>
        <w:tc>
          <w:tcPr>
            <w:tcW w:w="797" w:type="dxa"/>
            <w:noWrap w:val="0"/>
            <w:vAlign w:val="center"/>
          </w:tcPr>
          <w:p>
            <w:pPr>
              <w:autoSpaceDE w:val="0"/>
              <w:autoSpaceDN w:val="0"/>
              <w:ind w:left="105" w:leftChars="50" w:right="105" w:rightChars="50"/>
              <w:jc w:val="center"/>
              <w:rPr>
                <w:rFonts w:ascii="宋体" w:hAnsi="宋体"/>
                <w:kern w:val="0"/>
                <w:sz w:val="18"/>
                <w:szCs w:val="18"/>
                <w:lang w:eastAsia="en-US"/>
              </w:rPr>
            </w:pPr>
            <w:r>
              <w:rPr>
                <w:rFonts w:hint="eastAsia" w:ascii="宋体" w:hAnsi="宋体"/>
                <w:kern w:val="0"/>
                <w:sz w:val="18"/>
                <w:szCs w:val="18"/>
                <w:lang w:eastAsia="en-US"/>
              </w:rPr>
              <w:t>价格保障</w:t>
            </w:r>
          </w:p>
        </w:tc>
        <w:tc>
          <w:tcPr>
            <w:tcW w:w="5087" w:type="dxa"/>
            <w:noWrap w:val="0"/>
            <w:vAlign w:val="center"/>
          </w:tcPr>
          <w:p>
            <w:pPr>
              <w:topLinePunct/>
              <w:ind w:left="105" w:leftChars="50" w:right="105" w:rightChars="50"/>
              <w:jc w:val="center"/>
              <w:rPr>
                <w:rFonts w:ascii="宋体" w:hAnsi="宋体"/>
                <w:kern w:val="0"/>
                <w:sz w:val="18"/>
                <w:szCs w:val="18"/>
              </w:rPr>
            </w:pPr>
            <w:r>
              <w:rPr>
                <w:rFonts w:hint="eastAsia" w:ascii="宋体" w:hAnsi="宋体"/>
                <w:kern w:val="0"/>
                <w:sz w:val="18"/>
                <w:szCs w:val="18"/>
              </w:rPr>
              <w:t>是否面向师生提供不高于市场价格的商品与服务定价，根据具体的定价方案得分。</w:t>
            </w:r>
          </w:p>
        </w:tc>
        <w:tc>
          <w:tcPr>
            <w:tcW w:w="652" w:type="dxa"/>
            <w:noWrap w:val="0"/>
            <w:vAlign w:val="center"/>
          </w:tcPr>
          <w:p>
            <w:pPr>
              <w:autoSpaceDE w:val="0"/>
              <w:autoSpaceDN w:val="0"/>
              <w:ind w:left="105" w:leftChars="50" w:right="105" w:rightChars="50"/>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929" w:hRule="atLeast"/>
        </w:trPr>
        <w:tc>
          <w:tcPr>
            <w:tcW w:w="744" w:type="dxa"/>
            <w:gridSpan w:val="2"/>
            <w:vMerge w:val="continue"/>
            <w:noWrap w:val="0"/>
            <w:vAlign w:val="center"/>
          </w:tcPr>
          <w:p>
            <w:pPr>
              <w:autoSpaceDE w:val="0"/>
              <w:autoSpaceDN w:val="0"/>
              <w:ind w:left="105" w:leftChars="50" w:right="105" w:rightChars="50"/>
              <w:jc w:val="center"/>
              <w:rPr>
                <w:rFonts w:ascii="宋体" w:hAnsi="宋体" w:eastAsia="Times New Roman"/>
                <w:color w:val="000000"/>
                <w:kern w:val="0"/>
                <w:sz w:val="18"/>
                <w:szCs w:val="18"/>
                <w:lang w:eastAsia="en-US"/>
              </w:rPr>
            </w:pPr>
          </w:p>
        </w:tc>
        <w:tc>
          <w:tcPr>
            <w:tcW w:w="1061" w:type="dxa"/>
            <w:vMerge w:val="continue"/>
            <w:noWrap w:val="0"/>
            <w:vAlign w:val="center"/>
          </w:tcPr>
          <w:p>
            <w:pPr>
              <w:topLinePunct/>
              <w:autoSpaceDE w:val="0"/>
              <w:autoSpaceDN w:val="0"/>
              <w:ind w:left="105" w:leftChars="50" w:right="105" w:rightChars="50"/>
              <w:jc w:val="center"/>
              <w:rPr>
                <w:rFonts w:ascii="宋体" w:hAnsi="宋体"/>
                <w:kern w:val="0"/>
                <w:sz w:val="18"/>
                <w:szCs w:val="18"/>
                <w:lang w:eastAsia="en-US"/>
              </w:rPr>
            </w:pPr>
          </w:p>
        </w:tc>
        <w:tc>
          <w:tcPr>
            <w:tcW w:w="797" w:type="dxa"/>
            <w:vMerge w:val="restart"/>
            <w:noWrap w:val="0"/>
            <w:vAlign w:val="center"/>
          </w:tcPr>
          <w:p>
            <w:pPr>
              <w:autoSpaceDE w:val="0"/>
              <w:autoSpaceDN w:val="0"/>
              <w:ind w:left="105" w:leftChars="50" w:right="105" w:rightChars="50"/>
              <w:jc w:val="center"/>
              <w:rPr>
                <w:rFonts w:ascii="宋体" w:hAnsi="宋体"/>
                <w:kern w:val="0"/>
                <w:sz w:val="18"/>
                <w:szCs w:val="18"/>
                <w:lang w:eastAsia="en-US"/>
              </w:rPr>
            </w:pPr>
            <w:r>
              <w:rPr>
                <w:rFonts w:hint="eastAsia" w:ascii="宋体" w:hAnsi="宋体" w:eastAsia="Times New Roman" w:cs="宋体"/>
                <w:color w:val="000000"/>
                <w:kern w:val="0"/>
                <w:sz w:val="18"/>
                <w:szCs w:val="18"/>
              </w:rPr>
              <w:t>服务保障</w:t>
            </w:r>
          </w:p>
        </w:tc>
        <w:tc>
          <w:tcPr>
            <w:tcW w:w="5087" w:type="dxa"/>
            <w:noWrap w:val="0"/>
            <w:vAlign w:val="center"/>
          </w:tcPr>
          <w:p>
            <w:pPr>
              <w:topLinePunct/>
              <w:autoSpaceDE w:val="0"/>
              <w:autoSpaceDN w:val="0"/>
              <w:ind w:left="105" w:leftChars="50" w:right="105" w:rightChars="50"/>
              <w:jc w:val="center"/>
              <w:rPr>
                <w:rFonts w:ascii="宋体" w:hAnsi="宋体"/>
                <w:kern w:val="0"/>
                <w:sz w:val="18"/>
                <w:szCs w:val="18"/>
              </w:rPr>
            </w:pPr>
            <w:r>
              <w:rPr>
                <w:rFonts w:hint="eastAsia" w:ascii="宋体" w:hAnsi="宋体"/>
                <w:kern w:val="0"/>
                <w:sz w:val="18"/>
                <w:szCs w:val="18"/>
              </w:rPr>
              <w:t>完善的管理制度、服务方案（含配送设备和人员、配送时效、服务措施等）。优得</w:t>
            </w:r>
            <w:r>
              <w:rPr>
                <w:rFonts w:ascii="宋体" w:hAnsi="宋体"/>
                <w:kern w:val="0"/>
                <w:sz w:val="18"/>
                <w:szCs w:val="18"/>
              </w:rPr>
              <w:t>20-17</w:t>
            </w:r>
            <w:r>
              <w:rPr>
                <w:rFonts w:hint="eastAsia" w:ascii="宋体" w:hAnsi="宋体"/>
                <w:kern w:val="0"/>
                <w:sz w:val="18"/>
                <w:szCs w:val="18"/>
              </w:rPr>
              <w:t>分，良得</w:t>
            </w:r>
            <w:r>
              <w:rPr>
                <w:rFonts w:ascii="宋体" w:hAnsi="宋体"/>
                <w:kern w:val="0"/>
                <w:sz w:val="18"/>
                <w:szCs w:val="18"/>
              </w:rPr>
              <w:t>17-13</w:t>
            </w:r>
            <w:r>
              <w:rPr>
                <w:rFonts w:hint="eastAsia" w:ascii="宋体" w:hAnsi="宋体"/>
                <w:kern w:val="0"/>
                <w:sz w:val="18"/>
                <w:szCs w:val="18"/>
              </w:rPr>
              <w:t>分，一般得</w:t>
            </w:r>
            <w:r>
              <w:rPr>
                <w:rFonts w:ascii="宋体" w:hAnsi="宋体"/>
                <w:kern w:val="0"/>
                <w:sz w:val="18"/>
                <w:szCs w:val="18"/>
              </w:rPr>
              <w:t>13-8</w:t>
            </w:r>
            <w:r>
              <w:rPr>
                <w:rFonts w:hint="eastAsia" w:ascii="宋体" w:hAnsi="宋体"/>
                <w:kern w:val="0"/>
                <w:sz w:val="18"/>
                <w:szCs w:val="18"/>
              </w:rPr>
              <w:t>分，差得</w:t>
            </w:r>
            <w:r>
              <w:rPr>
                <w:rFonts w:ascii="宋体" w:hAnsi="宋体"/>
                <w:kern w:val="0"/>
                <w:sz w:val="18"/>
                <w:szCs w:val="18"/>
              </w:rPr>
              <w:t>8</w:t>
            </w:r>
            <w:r>
              <w:rPr>
                <w:rFonts w:hint="eastAsia" w:ascii="宋体" w:hAnsi="宋体"/>
                <w:kern w:val="0"/>
                <w:sz w:val="18"/>
                <w:szCs w:val="18"/>
              </w:rPr>
              <w:t>-</w:t>
            </w:r>
            <w:r>
              <w:rPr>
                <w:rFonts w:ascii="宋体" w:hAnsi="宋体"/>
                <w:kern w:val="0"/>
                <w:sz w:val="18"/>
                <w:szCs w:val="18"/>
              </w:rPr>
              <w:t>0</w:t>
            </w:r>
            <w:r>
              <w:rPr>
                <w:rFonts w:hint="eastAsia" w:ascii="宋体" w:hAnsi="宋体"/>
                <w:kern w:val="0"/>
                <w:sz w:val="18"/>
                <w:szCs w:val="18"/>
              </w:rPr>
              <w:t>分；。</w:t>
            </w:r>
          </w:p>
        </w:tc>
        <w:tc>
          <w:tcPr>
            <w:tcW w:w="652" w:type="dxa"/>
            <w:noWrap w:val="0"/>
            <w:vAlign w:val="center"/>
          </w:tcPr>
          <w:p>
            <w:pPr>
              <w:autoSpaceDE w:val="0"/>
              <w:autoSpaceDN w:val="0"/>
              <w:ind w:left="105" w:leftChars="50" w:right="105" w:rightChars="50"/>
              <w:jc w:val="center"/>
              <w:rPr>
                <w:rFonts w:hint="eastAsia" w:ascii="宋体" w:hAnsi="宋体"/>
                <w:kern w:val="0"/>
                <w:sz w:val="18"/>
                <w:szCs w:val="18"/>
              </w:rPr>
            </w:pPr>
            <w:r>
              <w:rPr>
                <w:rFonts w:hint="eastAsia" w:ascii="宋体" w:hAnsi="宋体" w:eastAsia="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1108" w:hRule="atLeast"/>
        </w:trPr>
        <w:tc>
          <w:tcPr>
            <w:tcW w:w="744" w:type="dxa"/>
            <w:gridSpan w:val="2"/>
            <w:vMerge w:val="continue"/>
            <w:noWrap w:val="0"/>
            <w:vAlign w:val="center"/>
          </w:tcPr>
          <w:p>
            <w:pPr>
              <w:autoSpaceDE w:val="0"/>
              <w:autoSpaceDN w:val="0"/>
              <w:ind w:left="105" w:leftChars="50" w:right="105" w:rightChars="50"/>
              <w:jc w:val="center"/>
              <w:rPr>
                <w:rFonts w:ascii="宋体" w:hAnsi="宋体" w:eastAsia="Times New Roman"/>
                <w:color w:val="000000"/>
                <w:kern w:val="0"/>
                <w:sz w:val="18"/>
                <w:szCs w:val="18"/>
                <w:lang w:eastAsia="en-US"/>
              </w:rPr>
            </w:pPr>
          </w:p>
        </w:tc>
        <w:tc>
          <w:tcPr>
            <w:tcW w:w="1061" w:type="dxa"/>
            <w:vMerge w:val="continue"/>
            <w:noWrap w:val="0"/>
            <w:vAlign w:val="center"/>
          </w:tcPr>
          <w:p>
            <w:pPr>
              <w:topLinePunct/>
              <w:autoSpaceDE w:val="0"/>
              <w:autoSpaceDN w:val="0"/>
              <w:ind w:left="105" w:leftChars="50" w:right="105" w:rightChars="50"/>
              <w:jc w:val="center"/>
              <w:rPr>
                <w:rFonts w:ascii="宋体" w:hAnsi="宋体"/>
                <w:kern w:val="0"/>
                <w:sz w:val="18"/>
                <w:szCs w:val="18"/>
                <w:lang w:eastAsia="en-US"/>
              </w:rPr>
            </w:pPr>
          </w:p>
        </w:tc>
        <w:tc>
          <w:tcPr>
            <w:tcW w:w="797" w:type="dxa"/>
            <w:vMerge w:val="continue"/>
            <w:noWrap w:val="0"/>
            <w:vAlign w:val="center"/>
          </w:tcPr>
          <w:p>
            <w:pPr>
              <w:autoSpaceDE w:val="0"/>
              <w:autoSpaceDN w:val="0"/>
              <w:ind w:left="105" w:leftChars="50" w:right="105" w:rightChars="50"/>
              <w:jc w:val="center"/>
              <w:rPr>
                <w:rFonts w:ascii="宋体" w:hAnsi="宋体"/>
                <w:kern w:val="0"/>
                <w:sz w:val="18"/>
                <w:szCs w:val="18"/>
                <w:highlight w:val="lightGray"/>
              </w:rPr>
            </w:pPr>
          </w:p>
        </w:tc>
        <w:tc>
          <w:tcPr>
            <w:tcW w:w="5087" w:type="dxa"/>
            <w:noWrap w:val="0"/>
            <w:vAlign w:val="center"/>
          </w:tcPr>
          <w:p>
            <w:pPr>
              <w:topLinePunct/>
              <w:autoSpaceDE w:val="0"/>
              <w:autoSpaceDN w:val="0"/>
              <w:ind w:left="105" w:leftChars="50" w:right="105" w:rightChars="50"/>
              <w:jc w:val="center"/>
              <w:rPr>
                <w:rFonts w:ascii="宋体" w:hAnsi="宋体"/>
                <w:kern w:val="0"/>
                <w:sz w:val="18"/>
                <w:szCs w:val="18"/>
                <w:highlight w:val="lightGray"/>
              </w:rPr>
            </w:pPr>
            <w:r>
              <w:rPr>
                <w:rFonts w:hint="eastAsia" w:ascii="宋体" w:hAnsi="宋体"/>
                <w:kern w:val="0"/>
                <w:sz w:val="18"/>
                <w:szCs w:val="18"/>
              </w:rPr>
              <w:t>经营与服务过程中安全管理、安全防范、应急处理、纠纷处理、投诉处理等具体应对方案和切实可行的措施。优得</w:t>
            </w:r>
            <w:r>
              <w:rPr>
                <w:rFonts w:ascii="宋体" w:hAnsi="宋体"/>
                <w:kern w:val="0"/>
                <w:sz w:val="18"/>
                <w:szCs w:val="18"/>
              </w:rPr>
              <w:t>15-13</w:t>
            </w:r>
            <w:r>
              <w:rPr>
                <w:rFonts w:hint="eastAsia" w:ascii="宋体" w:hAnsi="宋体"/>
                <w:kern w:val="0"/>
                <w:sz w:val="18"/>
                <w:szCs w:val="18"/>
              </w:rPr>
              <w:t>分，良得</w:t>
            </w:r>
            <w:r>
              <w:rPr>
                <w:rFonts w:ascii="宋体" w:hAnsi="宋体"/>
                <w:kern w:val="0"/>
                <w:sz w:val="18"/>
                <w:szCs w:val="18"/>
              </w:rPr>
              <w:t>13-10</w:t>
            </w:r>
            <w:r>
              <w:rPr>
                <w:rFonts w:hint="eastAsia" w:ascii="宋体" w:hAnsi="宋体"/>
                <w:kern w:val="0"/>
                <w:sz w:val="18"/>
                <w:szCs w:val="18"/>
              </w:rPr>
              <w:t>分，一般得</w:t>
            </w:r>
            <w:r>
              <w:rPr>
                <w:rFonts w:ascii="宋体" w:hAnsi="宋体"/>
                <w:kern w:val="0"/>
                <w:sz w:val="18"/>
                <w:szCs w:val="18"/>
              </w:rPr>
              <w:t>10-6</w:t>
            </w:r>
            <w:r>
              <w:rPr>
                <w:rFonts w:hint="eastAsia" w:ascii="宋体" w:hAnsi="宋体"/>
                <w:kern w:val="0"/>
                <w:sz w:val="18"/>
                <w:szCs w:val="18"/>
              </w:rPr>
              <w:t>分，差得6-</w:t>
            </w:r>
            <w:r>
              <w:rPr>
                <w:rFonts w:ascii="宋体" w:hAnsi="宋体"/>
                <w:kern w:val="0"/>
                <w:sz w:val="18"/>
                <w:szCs w:val="18"/>
              </w:rPr>
              <w:t>0</w:t>
            </w:r>
            <w:r>
              <w:rPr>
                <w:rFonts w:hint="eastAsia" w:ascii="宋体" w:hAnsi="宋体"/>
                <w:kern w:val="0"/>
                <w:sz w:val="18"/>
                <w:szCs w:val="18"/>
              </w:rPr>
              <w:t>分；</w:t>
            </w:r>
          </w:p>
        </w:tc>
        <w:tc>
          <w:tcPr>
            <w:tcW w:w="652" w:type="dxa"/>
            <w:noWrap w:val="0"/>
            <w:vAlign w:val="center"/>
          </w:tcPr>
          <w:p>
            <w:pPr>
              <w:autoSpaceDE w:val="0"/>
              <w:autoSpaceDN w:val="0"/>
              <w:ind w:left="105" w:leftChars="50" w:right="105" w:rightChars="50"/>
              <w:jc w:val="center"/>
              <w:rPr>
                <w:rFonts w:hint="eastAsia" w:ascii="宋体" w:hAnsi="宋体"/>
                <w:kern w:val="0"/>
                <w:sz w:val="18"/>
                <w:szCs w:val="18"/>
              </w:rPr>
            </w:pPr>
            <w:r>
              <w:rPr>
                <w:rFonts w:hint="eastAsia" w:ascii="宋体" w:hAnsi="宋体" w:eastAsia="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873" w:hRule="atLeast"/>
        </w:trPr>
        <w:tc>
          <w:tcPr>
            <w:tcW w:w="744" w:type="dxa"/>
            <w:gridSpan w:val="2"/>
            <w:vMerge w:val="continue"/>
            <w:noWrap w:val="0"/>
            <w:vAlign w:val="center"/>
          </w:tcPr>
          <w:p>
            <w:pPr>
              <w:autoSpaceDE w:val="0"/>
              <w:autoSpaceDN w:val="0"/>
              <w:ind w:left="105" w:leftChars="50" w:right="105" w:rightChars="50"/>
              <w:jc w:val="center"/>
              <w:rPr>
                <w:rFonts w:ascii="宋体" w:hAnsi="宋体"/>
                <w:kern w:val="0"/>
                <w:sz w:val="18"/>
                <w:szCs w:val="18"/>
                <w:lang w:eastAsia="en-US"/>
              </w:rPr>
            </w:pPr>
          </w:p>
        </w:tc>
        <w:tc>
          <w:tcPr>
            <w:tcW w:w="1061" w:type="dxa"/>
            <w:vMerge w:val="continue"/>
            <w:noWrap w:val="0"/>
            <w:vAlign w:val="center"/>
          </w:tcPr>
          <w:p>
            <w:pPr>
              <w:topLinePunct/>
              <w:autoSpaceDE w:val="0"/>
              <w:autoSpaceDN w:val="0"/>
              <w:ind w:left="105" w:leftChars="50" w:right="105" w:rightChars="50"/>
              <w:jc w:val="center"/>
              <w:rPr>
                <w:rFonts w:ascii="宋体" w:hAnsi="宋体"/>
                <w:kern w:val="0"/>
                <w:sz w:val="18"/>
                <w:szCs w:val="18"/>
                <w:lang w:eastAsia="en-US"/>
              </w:rPr>
            </w:pPr>
          </w:p>
        </w:tc>
        <w:tc>
          <w:tcPr>
            <w:tcW w:w="797" w:type="dxa"/>
            <w:vMerge w:val="continue"/>
            <w:noWrap w:val="0"/>
            <w:vAlign w:val="center"/>
          </w:tcPr>
          <w:p>
            <w:pPr>
              <w:autoSpaceDE w:val="0"/>
              <w:autoSpaceDN w:val="0"/>
              <w:ind w:left="105" w:leftChars="50" w:right="105" w:rightChars="50"/>
              <w:jc w:val="center"/>
              <w:rPr>
                <w:rFonts w:ascii="宋体" w:hAnsi="宋体"/>
                <w:kern w:val="0"/>
                <w:sz w:val="18"/>
                <w:szCs w:val="18"/>
                <w:lang w:eastAsia="en-US"/>
              </w:rPr>
            </w:pPr>
          </w:p>
        </w:tc>
        <w:tc>
          <w:tcPr>
            <w:tcW w:w="5087" w:type="dxa"/>
            <w:noWrap w:val="0"/>
            <w:vAlign w:val="center"/>
          </w:tcPr>
          <w:p>
            <w:pPr>
              <w:topLinePunct/>
              <w:ind w:left="105" w:leftChars="50" w:right="105" w:rightChars="50"/>
              <w:jc w:val="center"/>
              <w:rPr>
                <w:rFonts w:ascii="宋体" w:hAnsi="宋体"/>
                <w:kern w:val="0"/>
                <w:sz w:val="18"/>
                <w:szCs w:val="18"/>
              </w:rPr>
            </w:pPr>
            <w:r>
              <w:rPr>
                <w:rFonts w:hint="eastAsia" w:ascii="宋体" w:hAnsi="宋体"/>
                <w:kern w:val="0"/>
                <w:sz w:val="18"/>
                <w:szCs w:val="18"/>
              </w:rPr>
              <w:t>供货渠道是否稳定、多元，物流是否通畅、高效。需提供供货商清单和供货合同，其中生产厂家直接供货的合同占比越高，则渠道越优。</w:t>
            </w:r>
          </w:p>
        </w:tc>
        <w:tc>
          <w:tcPr>
            <w:tcW w:w="652" w:type="dxa"/>
            <w:noWrap w:val="0"/>
            <w:vAlign w:val="center"/>
          </w:tcPr>
          <w:p>
            <w:pPr>
              <w:autoSpaceDE w:val="0"/>
              <w:autoSpaceDN w:val="0"/>
              <w:ind w:left="105" w:leftChars="50" w:right="105" w:rightChars="50"/>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1048" w:hRule="atLeast"/>
        </w:trPr>
        <w:tc>
          <w:tcPr>
            <w:tcW w:w="744" w:type="dxa"/>
            <w:gridSpan w:val="2"/>
            <w:vMerge w:val="continue"/>
            <w:noWrap w:val="0"/>
            <w:vAlign w:val="center"/>
          </w:tcPr>
          <w:p>
            <w:pPr>
              <w:autoSpaceDE w:val="0"/>
              <w:autoSpaceDN w:val="0"/>
              <w:ind w:left="105" w:leftChars="50" w:right="105" w:rightChars="50"/>
              <w:jc w:val="center"/>
              <w:rPr>
                <w:rFonts w:hint="eastAsia" w:ascii="宋体" w:hAnsi="宋体" w:eastAsia="Times New Roman"/>
                <w:kern w:val="0"/>
                <w:sz w:val="18"/>
                <w:szCs w:val="18"/>
                <w:lang w:eastAsia="en-US"/>
              </w:rPr>
            </w:pPr>
          </w:p>
        </w:tc>
        <w:tc>
          <w:tcPr>
            <w:tcW w:w="1061" w:type="dxa"/>
            <w:vMerge w:val="continue"/>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797" w:type="dxa"/>
            <w:noWrap w:val="0"/>
            <w:vAlign w:val="center"/>
          </w:tcPr>
          <w:p>
            <w:pPr>
              <w:autoSpaceDE w:val="0"/>
              <w:autoSpaceDN w:val="0"/>
              <w:ind w:left="105" w:leftChars="50" w:right="105" w:rightChars="50"/>
              <w:jc w:val="center"/>
              <w:rPr>
                <w:rFonts w:hint="eastAsia" w:ascii="宋体" w:hAnsi="宋体" w:eastAsia="Times New Roman" w:cs="宋体"/>
                <w:color w:val="000000"/>
                <w:kern w:val="0"/>
                <w:sz w:val="18"/>
                <w:szCs w:val="18"/>
              </w:rPr>
            </w:pPr>
            <w:r>
              <w:rPr>
                <w:rFonts w:hint="eastAsia" w:ascii="宋体" w:hAnsi="宋体" w:eastAsia="Times New Roman" w:cs="宋体"/>
                <w:color w:val="000000"/>
                <w:kern w:val="0"/>
                <w:sz w:val="18"/>
                <w:szCs w:val="18"/>
              </w:rPr>
              <w:t>安全保障</w:t>
            </w:r>
          </w:p>
        </w:tc>
        <w:tc>
          <w:tcPr>
            <w:tcW w:w="5087" w:type="dxa"/>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r>
              <w:rPr>
                <w:rFonts w:hint="eastAsia" w:ascii="宋体" w:hAnsi="宋体"/>
                <w:kern w:val="0"/>
                <w:sz w:val="18"/>
                <w:szCs w:val="18"/>
              </w:rPr>
              <w:t>食品安全管理制度和应急预案是否健全、食品安全管控流程是否严密。需提供具体的制度、预案、流程。</w:t>
            </w:r>
          </w:p>
        </w:tc>
        <w:tc>
          <w:tcPr>
            <w:tcW w:w="652" w:type="dxa"/>
            <w:noWrap w:val="0"/>
            <w:vAlign w:val="center"/>
          </w:tcPr>
          <w:p>
            <w:pPr>
              <w:autoSpaceDE w:val="0"/>
              <w:autoSpaceDN w:val="0"/>
              <w:ind w:left="105" w:leftChars="50" w:right="105" w:rightChars="50"/>
              <w:jc w:val="center"/>
              <w:rPr>
                <w:rFonts w:hint="eastAsia" w:ascii="宋体" w:hAnsi="宋体" w:eastAsia="宋体" w:cs="微软雅黑"/>
                <w:color w:val="000000"/>
                <w:kern w:val="0"/>
                <w:sz w:val="18"/>
                <w:szCs w:val="18"/>
                <w:lang w:val="en-US" w:eastAsia="zh-CN"/>
              </w:rPr>
            </w:pPr>
            <w:r>
              <w:rPr>
                <w:rFonts w:hint="eastAsia" w:ascii="宋体" w:hAnsi="宋体" w:cs="微软雅黑"/>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17" w:type="dxa"/>
          <w:trHeight w:val="932" w:hRule="atLeast"/>
        </w:trPr>
        <w:tc>
          <w:tcPr>
            <w:tcW w:w="744" w:type="dxa"/>
            <w:gridSpan w:val="2"/>
            <w:noWrap w:val="0"/>
            <w:vAlign w:val="center"/>
          </w:tcPr>
          <w:p>
            <w:pPr>
              <w:autoSpaceDE w:val="0"/>
              <w:autoSpaceDN w:val="0"/>
              <w:ind w:left="105" w:leftChars="50" w:right="105" w:rightChars="50"/>
              <w:jc w:val="center"/>
              <w:rPr>
                <w:rFonts w:hint="eastAsia" w:ascii="宋体" w:hAnsi="宋体" w:eastAsia="Times New Roman"/>
                <w:kern w:val="0"/>
                <w:sz w:val="18"/>
                <w:szCs w:val="18"/>
              </w:rPr>
            </w:pPr>
            <w:r>
              <w:rPr>
                <w:rFonts w:hint="eastAsia" w:ascii="宋体" w:hAnsi="宋体" w:eastAsia="Times New Roman"/>
                <w:kern w:val="0"/>
                <w:sz w:val="18"/>
                <w:szCs w:val="18"/>
              </w:rPr>
              <w:t>满分</w:t>
            </w:r>
          </w:p>
        </w:tc>
        <w:tc>
          <w:tcPr>
            <w:tcW w:w="1061" w:type="dxa"/>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797" w:type="dxa"/>
            <w:noWrap w:val="0"/>
            <w:vAlign w:val="center"/>
          </w:tcPr>
          <w:p>
            <w:pPr>
              <w:autoSpaceDE w:val="0"/>
              <w:autoSpaceDN w:val="0"/>
              <w:ind w:left="105" w:leftChars="50" w:right="105" w:rightChars="50"/>
              <w:jc w:val="center"/>
              <w:rPr>
                <w:rFonts w:hint="eastAsia" w:ascii="宋体" w:hAnsi="宋体" w:eastAsia="Times New Roman" w:cs="宋体"/>
                <w:color w:val="000000"/>
                <w:kern w:val="0"/>
                <w:sz w:val="18"/>
                <w:szCs w:val="18"/>
              </w:rPr>
            </w:pPr>
          </w:p>
        </w:tc>
        <w:tc>
          <w:tcPr>
            <w:tcW w:w="5087" w:type="dxa"/>
            <w:noWrap w:val="0"/>
            <w:vAlign w:val="center"/>
          </w:tcPr>
          <w:p>
            <w:pPr>
              <w:topLinePunct/>
              <w:autoSpaceDE w:val="0"/>
              <w:autoSpaceDN w:val="0"/>
              <w:ind w:left="105" w:leftChars="50" w:right="105" w:rightChars="50"/>
              <w:jc w:val="center"/>
              <w:rPr>
                <w:rFonts w:hint="eastAsia" w:ascii="宋体" w:hAnsi="宋体" w:eastAsia="Times New Roman"/>
                <w:kern w:val="0"/>
                <w:sz w:val="18"/>
                <w:szCs w:val="18"/>
              </w:rPr>
            </w:pPr>
          </w:p>
        </w:tc>
        <w:tc>
          <w:tcPr>
            <w:tcW w:w="652" w:type="dxa"/>
            <w:noWrap w:val="0"/>
            <w:vAlign w:val="center"/>
          </w:tcPr>
          <w:p>
            <w:pPr>
              <w:autoSpaceDE w:val="0"/>
              <w:autoSpaceDN w:val="0"/>
              <w:ind w:left="105" w:leftChars="50" w:right="105" w:rightChars="50"/>
              <w:jc w:val="center"/>
              <w:rPr>
                <w:rFonts w:hint="eastAsia" w:ascii="宋体" w:hAnsi="宋体" w:cs="微软雅黑"/>
                <w:color w:val="000000"/>
                <w:kern w:val="0"/>
                <w:sz w:val="18"/>
                <w:szCs w:val="18"/>
              </w:rPr>
            </w:pPr>
            <w:r>
              <w:rPr>
                <w:rFonts w:hint="eastAsia" w:ascii="宋体" w:hAnsi="宋体" w:cs="微软雅黑"/>
                <w:color w:val="000000"/>
                <w:kern w:val="0"/>
                <w:sz w:val="18"/>
                <w:szCs w:val="18"/>
              </w:rPr>
              <w:t>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（以下无正文）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right"/>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2023年8月13</w:t>
      </w:r>
      <w:bookmarkStart w:id="0" w:name="_GoBack"/>
      <w:bookmarkEnd w:id="0"/>
      <w:r>
        <w:rPr>
          <w:rFonts w:hint="eastAsia" w:ascii="仿宋" w:hAnsi="仿宋" w:eastAsia="仿宋" w:cs="仿宋"/>
          <w:i w:val="0"/>
          <w:iCs w:val="0"/>
          <w:caps w:val="0"/>
          <w:color w:val="333333"/>
          <w:spacing w:val="0"/>
          <w:sz w:val="28"/>
          <w:szCs w:val="28"/>
          <w:shd w:val="clear" w:fill="FFFFFF"/>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mEzNmZjYzZmMmZmOWZkZmM5MDY2MmRhNjA2ZGQifQ=="/>
  </w:docVars>
  <w:rsids>
    <w:rsidRoot w:val="00000000"/>
    <w:rsid w:val="1DBF4D3E"/>
    <w:rsid w:val="228B2A13"/>
    <w:rsid w:val="252C2672"/>
    <w:rsid w:val="2A251905"/>
    <w:rsid w:val="383A0300"/>
    <w:rsid w:val="56C770C5"/>
    <w:rsid w:val="62B66BFD"/>
    <w:rsid w:val="66353B54"/>
    <w:rsid w:val="75C468A4"/>
    <w:rsid w:val="784D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2730</Words>
  <Characters>2925</Characters>
  <Lines>0</Lines>
  <Paragraphs>0</Paragraphs>
  <TotalTime>0</TotalTime>
  <ScaleCrop>false</ScaleCrop>
  <LinksUpToDate>false</LinksUpToDate>
  <CharactersWithSpaces>2934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2023-08-13T02:26:00Z</dcterms:created>
  <dc:creator>Admin</dc:creator>
  <cp:lastModifiedBy>陈亚桥ᵀᴳᵁ</cp:lastModifiedBy>
  <dcterms:modified xsi:type="dcterms:W3CDTF">2023-08-14T14:45:21Z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A5C9D9EB83A84EFD9E5AC9C9B7012805_13</vt:lpwstr>
  </property>
</Properties>
</file>